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37"/>
        <w:tblW w:w="16013" w:type="dxa"/>
        <w:tblLook w:val="04A0" w:firstRow="1" w:lastRow="0" w:firstColumn="1" w:lastColumn="0" w:noHBand="0" w:noVBand="1"/>
      </w:tblPr>
      <w:tblGrid>
        <w:gridCol w:w="2386"/>
        <w:gridCol w:w="1823"/>
        <w:gridCol w:w="3607"/>
        <w:gridCol w:w="5655"/>
        <w:gridCol w:w="1272"/>
        <w:gridCol w:w="1270"/>
      </w:tblGrid>
      <w:tr w:rsidR="00E54C52" w:rsidRPr="00E54C52" w:rsidTr="00EF6A2A">
        <w:trPr>
          <w:trHeight w:val="274"/>
        </w:trPr>
        <w:tc>
          <w:tcPr>
            <w:tcW w:w="13471" w:type="dxa"/>
            <w:gridSpan w:val="4"/>
          </w:tcPr>
          <w:p w:rsidR="00E54C52" w:rsidRPr="00E54C52" w:rsidRDefault="00E54C52" w:rsidP="00EF6A2A">
            <w:pPr>
              <w:tabs>
                <w:tab w:val="left" w:pos="3885"/>
              </w:tabs>
              <w:jc w:val="center"/>
              <w:rPr>
                <w:sz w:val="20"/>
                <w:szCs w:val="20"/>
                <w:u w:val="single"/>
              </w:rPr>
            </w:pPr>
            <w:r w:rsidRPr="00E54C52">
              <w:rPr>
                <w:sz w:val="20"/>
                <w:szCs w:val="20"/>
                <w:u w:val="single"/>
              </w:rPr>
              <w:t>THE GOTHIC (SETTING)</w:t>
            </w:r>
          </w:p>
        </w:tc>
        <w:tc>
          <w:tcPr>
            <w:tcW w:w="2542" w:type="dxa"/>
            <w:gridSpan w:val="2"/>
          </w:tcPr>
          <w:p w:rsidR="00E54C52" w:rsidRPr="008B1809" w:rsidRDefault="00E54C52" w:rsidP="00EF6A2A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B1809">
              <w:rPr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C60D73" w:rsidRPr="00E54C52" w:rsidTr="00EF6A2A">
        <w:trPr>
          <w:trHeight w:val="252"/>
        </w:trPr>
        <w:tc>
          <w:tcPr>
            <w:tcW w:w="2386" w:type="dxa"/>
          </w:tcPr>
          <w:p w:rsidR="00C60D73" w:rsidRPr="00E54C52" w:rsidRDefault="00C60D73" w:rsidP="00EF6A2A">
            <w:pPr>
              <w:rPr>
                <w:b/>
                <w:sz w:val="20"/>
                <w:szCs w:val="20"/>
                <w:u w:val="single"/>
              </w:rPr>
            </w:pPr>
            <w:r w:rsidRPr="00E54C52">
              <w:rPr>
                <w:b/>
                <w:sz w:val="20"/>
                <w:szCs w:val="20"/>
                <w:u w:val="single"/>
              </w:rPr>
              <w:t>Places/Conventions</w:t>
            </w:r>
          </w:p>
        </w:tc>
        <w:tc>
          <w:tcPr>
            <w:tcW w:w="5430" w:type="dxa"/>
            <w:gridSpan w:val="2"/>
          </w:tcPr>
          <w:p w:rsidR="00C60D73" w:rsidRPr="00E54C52" w:rsidRDefault="00C60D73" w:rsidP="00EF6A2A">
            <w:pPr>
              <w:rPr>
                <w:b/>
                <w:sz w:val="20"/>
                <w:szCs w:val="20"/>
                <w:u w:val="single"/>
              </w:rPr>
            </w:pPr>
            <w:r w:rsidRPr="00E54C52">
              <w:rPr>
                <w:b/>
                <w:sz w:val="20"/>
                <w:szCs w:val="20"/>
                <w:u w:val="single"/>
              </w:rPr>
              <w:t xml:space="preserve">Texts 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b/>
                <w:sz w:val="20"/>
                <w:szCs w:val="20"/>
                <w:u w:val="single"/>
              </w:rPr>
            </w:pPr>
            <w:r w:rsidRPr="00E54C52">
              <w:rPr>
                <w:b/>
                <w:sz w:val="20"/>
                <w:szCs w:val="20"/>
                <w:u w:val="single"/>
              </w:rPr>
              <w:t>Techniques</w:t>
            </w:r>
          </w:p>
        </w:tc>
        <w:tc>
          <w:tcPr>
            <w:tcW w:w="1272" w:type="dxa"/>
            <w:vMerge w:val="restart"/>
          </w:tcPr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Shrouded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Eerie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Clattering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Unease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Haunted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Sorcerer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Wretched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Talisman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Melancholy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Vast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Dismal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Grief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Prophecy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 xml:space="preserve"> 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Supernatural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Paranormal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Architecture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Wilderness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Abandoned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Omen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Malevolent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  <w:p w:rsidR="00C60D73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Mysterious</w:t>
            </w:r>
          </w:p>
          <w:p w:rsidR="00C60D73" w:rsidRDefault="00C60D73" w:rsidP="00EF6A2A">
            <w:pPr>
              <w:rPr>
                <w:sz w:val="20"/>
                <w:szCs w:val="20"/>
              </w:rPr>
            </w:pP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Paranormal</w:t>
            </w:r>
          </w:p>
        </w:tc>
      </w:tr>
      <w:tr w:rsidR="00C60D73" w:rsidRPr="00E54C52" w:rsidTr="00C60D73">
        <w:trPr>
          <w:trHeight w:val="574"/>
        </w:trPr>
        <w:tc>
          <w:tcPr>
            <w:tcW w:w="2386" w:type="dxa"/>
            <w:vMerge w:val="restart"/>
          </w:tcPr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-The Castle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-The Church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-The Laboratory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-The Forrest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-The City</w:t>
            </w:r>
          </w:p>
          <w:p w:rsid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-The Manor (Haunted House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-Suspicious or mysterious sounds/sights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-Characters catch only a glimpse of something.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-Darkness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 xml:space="preserve">-Unusual/dramatic 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weather e.g. howling wind; driving rain; creaking doors; approaching footsteps; doors slamming shut; crazed laughter)</w:t>
            </w:r>
          </w:p>
          <w:p w:rsidR="00C60D73" w:rsidRP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-Atmosphere of mystery and suspense</w:t>
            </w:r>
          </w:p>
          <w:p w:rsidR="00C60D73" w:rsidRDefault="00C60D73" w:rsidP="00C60D73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>-Supernatural or otherwise inexplicable events</w:t>
            </w:r>
          </w:p>
          <w:p w:rsidR="00C60D73" w:rsidRDefault="00C60D73" w:rsidP="00C60D73">
            <w:pPr>
              <w:rPr>
                <w:sz w:val="20"/>
                <w:szCs w:val="20"/>
              </w:rPr>
            </w:pPr>
          </w:p>
          <w:p w:rsidR="00C60D73" w:rsidRDefault="00C60D73" w:rsidP="00C60D73">
            <w:pPr>
              <w:rPr>
                <w:b/>
                <w:sz w:val="20"/>
                <w:szCs w:val="20"/>
                <w:u w:val="single"/>
              </w:rPr>
            </w:pPr>
            <w:r w:rsidRPr="00C60D73">
              <w:rPr>
                <w:b/>
                <w:sz w:val="20"/>
                <w:szCs w:val="20"/>
                <w:u w:val="single"/>
              </w:rPr>
              <w:t xml:space="preserve">Victorian Context </w:t>
            </w:r>
          </w:p>
          <w:p w:rsidR="00C60D73" w:rsidRPr="00C60D73" w:rsidRDefault="00C60D73" w:rsidP="00F545AE">
            <w:pPr>
              <w:rPr>
                <w:sz w:val="20"/>
                <w:szCs w:val="20"/>
              </w:rPr>
            </w:pPr>
            <w:r w:rsidRPr="00C60D73">
              <w:rPr>
                <w:sz w:val="20"/>
                <w:szCs w:val="20"/>
              </w:rPr>
              <w:t xml:space="preserve">-The Gothic Genre became </w:t>
            </w:r>
            <w:r>
              <w:rPr>
                <w:sz w:val="20"/>
                <w:szCs w:val="20"/>
              </w:rPr>
              <w:t xml:space="preserve">popular again in the Victorian era. Texts set in the city (e.g. </w:t>
            </w:r>
            <w:r w:rsidR="00F545AE">
              <w:rPr>
                <w:sz w:val="20"/>
                <w:szCs w:val="20"/>
              </w:rPr>
              <w:t xml:space="preserve">Shelley’s </w:t>
            </w:r>
            <w:r w:rsidR="00F545AE" w:rsidRPr="00F545AE">
              <w:rPr>
                <w:i/>
                <w:sz w:val="20"/>
                <w:szCs w:val="20"/>
              </w:rPr>
              <w:t>Frankenstein</w:t>
            </w:r>
            <w:r w:rsidR="00F545AE">
              <w:rPr>
                <w:sz w:val="20"/>
                <w:szCs w:val="20"/>
              </w:rPr>
              <w:t xml:space="preserve"> and Dickens’ </w:t>
            </w:r>
            <w:r w:rsidR="00F545AE" w:rsidRPr="00F545AE">
              <w:rPr>
                <w:i/>
                <w:sz w:val="20"/>
                <w:szCs w:val="20"/>
              </w:rPr>
              <w:t>A Christmas Carol</w:t>
            </w:r>
            <w:r w:rsidR="00F545AE">
              <w:rPr>
                <w:sz w:val="20"/>
                <w:szCs w:val="20"/>
              </w:rPr>
              <w:t xml:space="preserve">) illustrated different settings (dark, over-populated London) to the haunted mansions/castles of earlier texts. </w:t>
            </w:r>
          </w:p>
        </w:tc>
        <w:tc>
          <w:tcPr>
            <w:tcW w:w="1823" w:type="dxa"/>
            <w:vMerge w:val="restart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Ann Radcliffe,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 xml:space="preserve">The Mysteries of </w:t>
            </w:r>
            <w:proofErr w:type="spellStart"/>
            <w:r w:rsidRPr="00E54C52">
              <w:rPr>
                <w:b/>
                <w:sz w:val="20"/>
                <w:szCs w:val="20"/>
              </w:rPr>
              <w:t>Udolpho</w:t>
            </w:r>
            <w:proofErr w:type="spellEnd"/>
            <w:r w:rsidRPr="00E54C52">
              <w:rPr>
                <w:sz w:val="20"/>
                <w:szCs w:val="20"/>
              </w:rPr>
              <w:t xml:space="preserve"> (1794)</w:t>
            </w:r>
          </w:p>
        </w:tc>
        <w:tc>
          <w:tcPr>
            <w:tcW w:w="3607" w:type="dxa"/>
            <w:vMerge w:val="restart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‘Though [the castle] was now lighted up by the setting sun, the gothic greatness of its features, and its mouldering walls of dark grey stone, rendered it a gloomy and sublime object.’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Hyperbolic phrases</w:t>
            </w:r>
            <w:r w:rsidRPr="00E54C52">
              <w:rPr>
                <w:sz w:val="20"/>
                <w:szCs w:val="20"/>
              </w:rPr>
              <w:t xml:space="preserve"> (deliberately exaggerated) </w:t>
            </w:r>
            <w:r w:rsidRPr="00E54C52">
              <w:rPr>
                <w:i/>
                <w:sz w:val="20"/>
                <w:szCs w:val="20"/>
              </w:rPr>
              <w:t>unparalleled misfortunes; strange sight;</w:t>
            </w:r>
            <w:r w:rsidRPr="00E54C52">
              <w:rPr>
                <w:sz w:val="20"/>
                <w:szCs w:val="20"/>
              </w:rPr>
              <w:t xml:space="preserve"> </w:t>
            </w:r>
            <w:r w:rsidRPr="00E54C52">
              <w:rPr>
                <w:i/>
                <w:sz w:val="20"/>
                <w:szCs w:val="20"/>
              </w:rPr>
              <w:t>gigantic creature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C60D73">
        <w:trPr>
          <w:trHeight w:val="97"/>
        </w:trPr>
        <w:tc>
          <w:tcPr>
            <w:tcW w:w="2386" w:type="dxa"/>
            <w:vMerge/>
          </w:tcPr>
          <w:p w:rsidR="00C60D73" w:rsidRPr="00E54C52" w:rsidRDefault="00C60D73" w:rsidP="00C60D7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b/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Onomatopoeia</w:t>
            </w:r>
            <w:r w:rsidRPr="00E54C52">
              <w:rPr>
                <w:sz w:val="20"/>
                <w:szCs w:val="20"/>
              </w:rPr>
              <w:t xml:space="preserve"> (words resemble the sound they make)</w:t>
            </w:r>
            <w:r w:rsidRPr="00E54C52">
              <w:rPr>
                <w:i/>
                <w:sz w:val="20"/>
                <w:szCs w:val="20"/>
              </w:rPr>
              <w:t xml:space="preserve"> creak; squeak; moan; groan; whisper; scream; hiss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443"/>
        </w:trPr>
        <w:tc>
          <w:tcPr>
            <w:tcW w:w="2386" w:type="dxa"/>
            <w:vMerge/>
          </w:tcPr>
          <w:p w:rsidR="00C60D73" w:rsidRPr="00E54C52" w:rsidRDefault="00C60D73" w:rsidP="00C60D7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Mary Shelley</w:t>
            </w:r>
            <w:r w:rsidRPr="00E54C52">
              <w:rPr>
                <w:i/>
                <w:sz w:val="20"/>
                <w:szCs w:val="20"/>
              </w:rPr>
              <w:t xml:space="preserve">, </w:t>
            </w:r>
            <w:r w:rsidRPr="00E54C52">
              <w:rPr>
                <w:b/>
                <w:sz w:val="20"/>
                <w:szCs w:val="20"/>
              </w:rPr>
              <w:t>Frankenstein</w:t>
            </w:r>
            <w:r w:rsidRPr="00E54C52">
              <w:rPr>
                <w:i/>
                <w:sz w:val="20"/>
                <w:szCs w:val="20"/>
              </w:rPr>
              <w:t xml:space="preserve"> (</w:t>
            </w:r>
            <w:r w:rsidRPr="00E54C52">
              <w:rPr>
                <w:sz w:val="20"/>
                <w:szCs w:val="20"/>
              </w:rPr>
              <w:t xml:space="preserve">1818)  </w:t>
            </w:r>
          </w:p>
        </w:tc>
        <w:tc>
          <w:tcPr>
            <w:tcW w:w="3607" w:type="dxa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‘It was on a dreary night of November that I beheld the accomplishment of my toils’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Pathetic fallacy</w:t>
            </w:r>
            <w:r w:rsidRPr="00E54C52">
              <w:rPr>
                <w:sz w:val="20"/>
                <w:szCs w:val="20"/>
              </w:rPr>
              <w:t xml:space="preserve"> (weather mirrors the mood) </w:t>
            </w:r>
            <w:r w:rsidRPr="00E54C52">
              <w:rPr>
                <w:i/>
                <w:sz w:val="20"/>
                <w:szCs w:val="20"/>
              </w:rPr>
              <w:t>Black and comfortless sky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443"/>
        </w:trPr>
        <w:tc>
          <w:tcPr>
            <w:tcW w:w="2386" w:type="dxa"/>
            <w:vMerge/>
          </w:tcPr>
          <w:p w:rsidR="00C60D73" w:rsidRPr="00E54C52" w:rsidRDefault="00C60D73" w:rsidP="00C60D7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Matthew Lewis</w:t>
            </w:r>
            <w:r w:rsidRPr="00E54C52">
              <w:rPr>
                <w:i/>
                <w:sz w:val="20"/>
                <w:szCs w:val="20"/>
              </w:rPr>
              <w:t xml:space="preserve">, </w:t>
            </w:r>
            <w:r w:rsidRPr="00E54C52">
              <w:rPr>
                <w:b/>
                <w:sz w:val="20"/>
                <w:szCs w:val="20"/>
              </w:rPr>
              <w:t>The Monk</w:t>
            </w:r>
            <w:r w:rsidRPr="00E54C52">
              <w:rPr>
                <w:sz w:val="20"/>
                <w:szCs w:val="20"/>
              </w:rPr>
              <w:t xml:space="preserve"> (1796)</w:t>
            </w:r>
          </w:p>
        </w:tc>
        <w:tc>
          <w:tcPr>
            <w:tcW w:w="3607" w:type="dxa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‘old and partly-ruined Towers lifting themselves into the clouds and seeming to frown on the plains around them’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Personification</w:t>
            </w:r>
            <w:r w:rsidRPr="00E54C52">
              <w:rPr>
                <w:sz w:val="20"/>
                <w:szCs w:val="20"/>
              </w:rPr>
              <w:t xml:space="preserve"> (human or natural characteristics given to something which is inanimate) </w:t>
            </w:r>
            <w:r w:rsidRPr="00E54C52">
              <w:rPr>
                <w:i/>
                <w:sz w:val="20"/>
                <w:szCs w:val="20"/>
              </w:rPr>
              <w:t>The sky wept, drenching the lonely house on the hill</w:t>
            </w:r>
            <w:r w:rsidRPr="00E5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C60D73">
        <w:trPr>
          <w:trHeight w:val="1344"/>
        </w:trPr>
        <w:tc>
          <w:tcPr>
            <w:tcW w:w="2386" w:type="dxa"/>
            <w:vMerge/>
          </w:tcPr>
          <w:p w:rsidR="00C60D73" w:rsidRPr="00E54C52" w:rsidRDefault="00C60D73" w:rsidP="00C60D7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 xml:space="preserve">Charles Dickens, </w:t>
            </w:r>
            <w:r w:rsidRPr="00E54C52">
              <w:rPr>
                <w:b/>
                <w:sz w:val="20"/>
                <w:szCs w:val="20"/>
              </w:rPr>
              <w:t>A Christmas Carol</w:t>
            </w:r>
            <w:r w:rsidRPr="00E54C52">
              <w:rPr>
                <w:sz w:val="20"/>
                <w:szCs w:val="20"/>
              </w:rPr>
              <w:t xml:space="preserve"> (1846)</w:t>
            </w:r>
          </w:p>
        </w:tc>
        <w:tc>
          <w:tcPr>
            <w:tcW w:w="3607" w:type="dxa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‘Scrooge, having his key in the lock of the door, saw in the knocker, without its undergoing any intermediate process of change—not a knocker, but Marley's face.’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Foreshadowing</w:t>
            </w:r>
            <w:r w:rsidRPr="00E54C52">
              <w:rPr>
                <w:sz w:val="20"/>
                <w:szCs w:val="20"/>
              </w:rPr>
              <w:t xml:space="preserve"> (hints of what’s to come later on in the story) </w:t>
            </w:r>
          </w:p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The final graveyard flower is blooming, and its smell drifts through their house, speaking gently the names of their dead.</w:t>
            </w:r>
          </w:p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(Foreshadows death)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443"/>
        </w:trPr>
        <w:tc>
          <w:tcPr>
            <w:tcW w:w="2386" w:type="dxa"/>
            <w:vMerge/>
          </w:tcPr>
          <w:p w:rsidR="00C60D73" w:rsidRPr="00E54C52" w:rsidRDefault="00C60D73" w:rsidP="00C60D7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 xml:space="preserve">Charlotte Bronte, </w:t>
            </w:r>
            <w:r w:rsidRPr="00E54C52">
              <w:rPr>
                <w:b/>
                <w:sz w:val="20"/>
                <w:szCs w:val="20"/>
              </w:rPr>
              <w:t>Jane Eyre</w:t>
            </w:r>
            <w:r w:rsidRPr="00E54C52">
              <w:rPr>
                <w:sz w:val="20"/>
                <w:szCs w:val="20"/>
              </w:rPr>
              <w:t xml:space="preserve"> (1846)</w:t>
            </w:r>
          </w:p>
        </w:tc>
        <w:tc>
          <w:tcPr>
            <w:tcW w:w="3607" w:type="dxa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 xml:space="preserve">‘I lifted my head and tried to look boldly round the dark room: at this moment a light gleamed on the wall.’ 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Imagery</w:t>
            </w:r>
            <w:r w:rsidRPr="00E54C52">
              <w:rPr>
                <w:sz w:val="20"/>
                <w:szCs w:val="20"/>
              </w:rPr>
              <w:t xml:space="preserve"> (description appeals to our senses of taste, smell, sight, touch, or hearing)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928"/>
        </w:trPr>
        <w:tc>
          <w:tcPr>
            <w:tcW w:w="2386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>Bram Stoker</w:t>
            </w:r>
            <w:r w:rsidRPr="00E54C52">
              <w:rPr>
                <w:i/>
                <w:sz w:val="20"/>
                <w:szCs w:val="20"/>
              </w:rPr>
              <w:t xml:space="preserve">, </w:t>
            </w:r>
            <w:r w:rsidRPr="00E54C52">
              <w:rPr>
                <w:b/>
                <w:sz w:val="20"/>
                <w:szCs w:val="20"/>
              </w:rPr>
              <w:t>Dracula</w:t>
            </w:r>
            <w:r w:rsidRPr="00E54C52">
              <w:rPr>
                <w:sz w:val="20"/>
                <w:szCs w:val="20"/>
              </w:rPr>
              <w:t xml:space="preserve"> (1897)</w:t>
            </w:r>
          </w:p>
        </w:tc>
        <w:tc>
          <w:tcPr>
            <w:tcW w:w="3607" w:type="dxa"/>
            <w:vMerge w:val="restart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‘As far as the eye can reach is a sea of green tree tops, with occasionally a deep rift where there is a chasm. Here and there are silver threads where the rivers wind in deep gorges through the forests.’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Metaphor</w:t>
            </w:r>
            <w:r w:rsidRPr="00E54C52">
              <w:rPr>
                <w:sz w:val="20"/>
                <w:szCs w:val="20"/>
              </w:rPr>
              <w:t xml:space="preserve"> (comparing one thing to another)  </w:t>
            </w:r>
            <w:r w:rsidRPr="00E54C52">
              <w:rPr>
                <w:i/>
                <w:sz w:val="20"/>
                <w:szCs w:val="20"/>
              </w:rPr>
              <w:t>a sea of green tree tops; silver threads where the rivers wind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928"/>
        </w:trPr>
        <w:tc>
          <w:tcPr>
            <w:tcW w:w="2386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b/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 xml:space="preserve">Simile </w:t>
            </w:r>
            <w:r w:rsidRPr="00E54C52">
              <w:rPr>
                <w:sz w:val="20"/>
                <w:szCs w:val="20"/>
              </w:rPr>
              <w:t>(an object, idea, character, action, etc., is compared to another thing using the words "as" or "like.")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443"/>
        </w:trPr>
        <w:tc>
          <w:tcPr>
            <w:tcW w:w="2386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sz w:val="20"/>
                <w:szCs w:val="20"/>
              </w:rPr>
              <w:t xml:space="preserve">Victor Hugo </w:t>
            </w:r>
            <w:r w:rsidRPr="00E54C52">
              <w:rPr>
                <w:b/>
                <w:sz w:val="20"/>
                <w:szCs w:val="20"/>
              </w:rPr>
              <w:t xml:space="preserve">The Hunchback of Notre-Dame </w:t>
            </w:r>
            <w:r w:rsidRPr="00E54C52">
              <w:rPr>
                <w:sz w:val="20"/>
                <w:szCs w:val="20"/>
              </w:rPr>
              <w:t>(1831)</w:t>
            </w:r>
          </w:p>
        </w:tc>
        <w:tc>
          <w:tcPr>
            <w:tcW w:w="3607" w:type="dxa"/>
          </w:tcPr>
          <w:p w:rsidR="00C60D73" w:rsidRPr="00EF6A2A" w:rsidRDefault="00C60D73" w:rsidP="00EF6A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</w:t>
            </w:r>
            <w:r w:rsidRPr="00EF6A2A">
              <w:rPr>
                <w:i/>
                <w:sz w:val="20"/>
                <w:szCs w:val="20"/>
              </w:rPr>
              <w:t xml:space="preserve">--climb upon some elevated point, whence you command the entire capital; and be present at the </w:t>
            </w:r>
            <w:proofErr w:type="spellStart"/>
            <w:r w:rsidRPr="00EF6A2A">
              <w:rPr>
                <w:i/>
                <w:sz w:val="20"/>
                <w:szCs w:val="20"/>
              </w:rPr>
              <w:t>wakening</w:t>
            </w:r>
            <w:proofErr w:type="spellEnd"/>
            <w:r w:rsidRPr="00EF6A2A">
              <w:rPr>
                <w:i/>
                <w:sz w:val="20"/>
                <w:szCs w:val="20"/>
              </w:rPr>
              <w:t xml:space="preserve"> of the chimes. Behold, at a signal given from heaven, for it is the sun which gives it, all those churches quiver simultaneously.</w:t>
            </w:r>
            <w:r>
              <w:rPr>
                <w:i/>
                <w:sz w:val="20"/>
                <w:szCs w:val="20"/>
              </w:rPr>
              <w:t>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Mood</w:t>
            </w:r>
            <w:r w:rsidRPr="00E54C52">
              <w:rPr>
                <w:sz w:val="20"/>
                <w:szCs w:val="20"/>
              </w:rPr>
              <w:t xml:space="preserve"> (the general feeling the writer wants the reader to have)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C60D73" w:rsidRPr="00E54C52" w:rsidTr="00EF6A2A">
        <w:trPr>
          <w:trHeight w:val="443"/>
        </w:trPr>
        <w:tc>
          <w:tcPr>
            <w:tcW w:w="2386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60D73" w:rsidRPr="00E54C52" w:rsidRDefault="00C60D73" w:rsidP="00EF6A2A">
            <w:pPr>
              <w:rPr>
                <w:b/>
                <w:sz w:val="20"/>
                <w:szCs w:val="20"/>
              </w:rPr>
            </w:pPr>
            <w:r w:rsidRPr="005B5B82">
              <w:rPr>
                <w:sz w:val="20"/>
                <w:szCs w:val="20"/>
              </w:rPr>
              <w:t>Susan Hill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4C52">
              <w:rPr>
                <w:b/>
                <w:sz w:val="20"/>
                <w:szCs w:val="20"/>
              </w:rPr>
              <w:t>The Woman in Black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5B82">
              <w:rPr>
                <w:sz w:val="20"/>
                <w:szCs w:val="20"/>
              </w:rPr>
              <w:t>(1983)</w:t>
            </w:r>
          </w:p>
        </w:tc>
        <w:tc>
          <w:tcPr>
            <w:tcW w:w="3607" w:type="dxa"/>
          </w:tcPr>
          <w:p w:rsidR="00C60D73" w:rsidRPr="00E54C52" w:rsidRDefault="00C60D73" w:rsidP="00EF6A2A">
            <w:pPr>
              <w:rPr>
                <w:i/>
                <w:sz w:val="20"/>
                <w:szCs w:val="20"/>
              </w:rPr>
            </w:pPr>
            <w:r w:rsidRPr="00E54C52">
              <w:rPr>
                <w:i/>
                <w:sz w:val="20"/>
                <w:szCs w:val="20"/>
              </w:rPr>
              <w:t>‘The house felt like a ship at sea, battered by the gale that came roaring across the open marsh.’</w:t>
            </w:r>
          </w:p>
        </w:tc>
        <w:tc>
          <w:tcPr>
            <w:tcW w:w="5655" w:type="dxa"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  <w:r w:rsidRPr="00E54C52">
              <w:rPr>
                <w:b/>
                <w:sz w:val="20"/>
                <w:szCs w:val="20"/>
              </w:rPr>
              <w:t>Oxymoron</w:t>
            </w:r>
            <w:r w:rsidRPr="00E54C52">
              <w:rPr>
                <w:sz w:val="20"/>
                <w:szCs w:val="20"/>
              </w:rPr>
              <w:t xml:space="preserve"> (a combination of two words that, together, express a contradictory meaning)</w:t>
            </w:r>
            <w:r w:rsidRPr="00E54C52">
              <w:rPr>
                <w:i/>
                <w:sz w:val="20"/>
                <w:szCs w:val="20"/>
              </w:rPr>
              <w:t xml:space="preserve"> the silence was deafening</w:t>
            </w:r>
          </w:p>
        </w:tc>
        <w:tc>
          <w:tcPr>
            <w:tcW w:w="1272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60D73" w:rsidRPr="00E54C52" w:rsidRDefault="00C60D73" w:rsidP="00EF6A2A">
            <w:pPr>
              <w:rPr>
                <w:sz w:val="20"/>
                <w:szCs w:val="20"/>
              </w:rPr>
            </w:pPr>
          </w:p>
        </w:tc>
      </w:tr>
      <w:tr w:rsidR="009D028C" w:rsidRPr="00E54C52" w:rsidTr="00EF6A2A">
        <w:trPr>
          <w:trHeight w:val="563"/>
        </w:trPr>
        <w:tc>
          <w:tcPr>
            <w:tcW w:w="16013" w:type="dxa"/>
            <w:gridSpan w:val="6"/>
          </w:tcPr>
          <w:p w:rsidR="00EF6A2A" w:rsidRPr="00EF6A2A" w:rsidRDefault="00C60D73" w:rsidP="00EF6A2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Origins of Gothic Genre</w:t>
            </w:r>
          </w:p>
          <w:p w:rsidR="009D028C" w:rsidRPr="00E54C52" w:rsidRDefault="005B5B82" w:rsidP="00EF6A2A">
            <w:pPr>
              <w:rPr>
                <w:sz w:val="20"/>
                <w:szCs w:val="20"/>
              </w:rPr>
            </w:pPr>
            <w:r w:rsidRPr="005B5B82">
              <w:rPr>
                <w:sz w:val="20"/>
                <w:szCs w:val="20"/>
              </w:rPr>
              <w:t>Th</w:t>
            </w:r>
            <w:r w:rsidR="00EF6A2A">
              <w:rPr>
                <w:sz w:val="20"/>
                <w:szCs w:val="20"/>
              </w:rPr>
              <w:t xml:space="preserve">e term ‘Gothic’ </w:t>
            </w:r>
            <w:proofErr w:type="gramStart"/>
            <w:r w:rsidR="00EF6A2A">
              <w:rPr>
                <w:sz w:val="20"/>
                <w:szCs w:val="20"/>
              </w:rPr>
              <w:t>was first used</w:t>
            </w:r>
            <w:proofErr w:type="gramEnd"/>
            <w:r w:rsidRPr="005B5B82">
              <w:rPr>
                <w:sz w:val="20"/>
                <w:szCs w:val="20"/>
              </w:rPr>
              <w:t xml:space="preserve"> by Horace Walpole in </w:t>
            </w:r>
            <w:r w:rsidRPr="00EF6A2A">
              <w:rPr>
                <w:i/>
                <w:sz w:val="20"/>
                <w:szCs w:val="20"/>
              </w:rPr>
              <w:t>The Castle of Otranto</w:t>
            </w:r>
            <w:r w:rsidR="00EF6A2A">
              <w:rPr>
                <w:sz w:val="20"/>
                <w:szCs w:val="20"/>
              </w:rPr>
              <w:t>;</w:t>
            </w:r>
            <w:r w:rsidRPr="005B5B82">
              <w:rPr>
                <w:sz w:val="20"/>
                <w:szCs w:val="20"/>
              </w:rPr>
              <w:t xml:space="preserve"> ‘A Gothic Story’.  The novel was set in a haun</w:t>
            </w:r>
            <w:r w:rsidR="00EF6A2A">
              <w:rPr>
                <w:sz w:val="20"/>
                <w:szCs w:val="20"/>
              </w:rPr>
              <w:t xml:space="preserve">ted castle. </w:t>
            </w:r>
            <w:r w:rsidRPr="005B5B82">
              <w:rPr>
                <w:sz w:val="20"/>
                <w:szCs w:val="20"/>
              </w:rPr>
              <w:t xml:space="preserve"> Walpole used the word ‘Gothic’ because it refers to medieval buildings like castles and churches, where a </w:t>
            </w:r>
            <w:r w:rsidR="00EF6A2A">
              <w:rPr>
                <w:sz w:val="20"/>
                <w:szCs w:val="20"/>
              </w:rPr>
              <w:t xml:space="preserve">lot of Gothic fiction is set. </w:t>
            </w:r>
            <w:r w:rsidRPr="005B5B82">
              <w:rPr>
                <w:sz w:val="20"/>
                <w:szCs w:val="20"/>
              </w:rPr>
              <w:t>Gothic Literature became immensely popular in England and Germany during the 18th and 19th century, with many other genr</w:t>
            </w:r>
            <w:r w:rsidR="00EF6A2A">
              <w:rPr>
                <w:sz w:val="20"/>
                <w:szCs w:val="20"/>
              </w:rPr>
              <w:t xml:space="preserve">es borrowing its conventions.  </w:t>
            </w:r>
            <w:r w:rsidRPr="005B5B82">
              <w:rPr>
                <w:sz w:val="20"/>
                <w:szCs w:val="20"/>
              </w:rPr>
              <w:t xml:space="preserve">Gothic fiction is all about creating terror in the reader and </w:t>
            </w:r>
            <w:r>
              <w:rPr>
                <w:sz w:val="20"/>
                <w:szCs w:val="20"/>
              </w:rPr>
              <w:t xml:space="preserve">using fear to create suspense. </w:t>
            </w:r>
          </w:p>
        </w:tc>
      </w:tr>
    </w:tbl>
    <w:p w:rsidR="00B3596C" w:rsidRDefault="00B3596C">
      <w:bookmarkStart w:id="0" w:name="_GoBack"/>
      <w:bookmarkEnd w:id="0"/>
    </w:p>
    <w:p w:rsidR="00B3596C" w:rsidRDefault="00B3596C"/>
    <w:sectPr w:rsidR="00B3596C" w:rsidSect="00D21C7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4C92"/>
    <w:multiLevelType w:val="hybridMultilevel"/>
    <w:tmpl w:val="790AE5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D51"/>
    <w:multiLevelType w:val="hybridMultilevel"/>
    <w:tmpl w:val="3CF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83414"/>
    <w:multiLevelType w:val="hybridMultilevel"/>
    <w:tmpl w:val="334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9"/>
    <w:rsid w:val="002003C2"/>
    <w:rsid w:val="0024110E"/>
    <w:rsid w:val="00310690"/>
    <w:rsid w:val="0038434E"/>
    <w:rsid w:val="003D588F"/>
    <w:rsid w:val="00561AC2"/>
    <w:rsid w:val="005B5B82"/>
    <w:rsid w:val="005E10E4"/>
    <w:rsid w:val="00605F05"/>
    <w:rsid w:val="00690906"/>
    <w:rsid w:val="0079347B"/>
    <w:rsid w:val="008B1809"/>
    <w:rsid w:val="008F2D71"/>
    <w:rsid w:val="009D028C"/>
    <w:rsid w:val="00B3596C"/>
    <w:rsid w:val="00B60739"/>
    <w:rsid w:val="00C60D73"/>
    <w:rsid w:val="00D16B3C"/>
    <w:rsid w:val="00D21C7B"/>
    <w:rsid w:val="00DA7C4B"/>
    <w:rsid w:val="00E00C8D"/>
    <w:rsid w:val="00E11607"/>
    <w:rsid w:val="00E54C52"/>
    <w:rsid w:val="00EF6A2A"/>
    <w:rsid w:val="00F02D3E"/>
    <w:rsid w:val="00F545AE"/>
    <w:rsid w:val="00FC0A79"/>
    <w:rsid w:val="00FE25DD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D87"/>
  <w15:chartTrackingRefBased/>
  <w15:docId w15:val="{2C297DDD-12F8-481B-9984-8CC3C3E1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A4F74039.dotm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Thorpe</dc:creator>
  <cp:keywords/>
  <dc:description/>
  <cp:lastModifiedBy>Nancy Thorpe</cp:lastModifiedBy>
  <cp:revision>2</cp:revision>
  <dcterms:created xsi:type="dcterms:W3CDTF">2019-06-25T12:16:00Z</dcterms:created>
  <dcterms:modified xsi:type="dcterms:W3CDTF">2019-06-25T12:16:00Z</dcterms:modified>
</cp:coreProperties>
</file>