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BE7" w:rsidRPr="00811807" w:rsidRDefault="00A33BE7" w:rsidP="002D281F">
      <w:pPr>
        <w:spacing w:after="0" w:line="240" w:lineRule="auto"/>
        <w:rPr>
          <w:sz w:val="20"/>
          <w:szCs w:val="20"/>
          <w:u w:val="single"/>
        </w:rPr>
      </w:pPr>
    </w:p>
    <w:tbl>
      <w:tblPr>
        <w:tblStyle w:val="TableGrid"/>
        <w:tblW w:w="0" w:type="auto"/>
        <w:tblLook w:val="04A0" w:firstRow="1" w:lastRow="0" w:firstColumn="1" w:lastColumn="0" w:noHBand="0" w:noVBand="1"/>
      </w:tblPr>
      <w:tblGrid>
        <w:gridCol w:w="4928"/>
        <w:gridCol w:w="6379"/>
        <w:gridCol w:w="4045"/>
      </w:tblGrid>
      <w:tr w:rsidR="00A33BE7" w:rsidRPr="00811807" w:rsidTr="003B207A">
        <w:tc>
          <w:tcPr>
            <w:tcW w:w="15352" w:type="dxa"/>
            <w:gridSpan w:val="3"/>
          </w:tcPr>
          <w:p w:rsidR="00A33BE7" w:rsidRPr="00811807" w:rsidRDefault="00A33BE7" w:rsidP="00673E62">
            <w:pPr>
              <w:jc w:val="center"/>
              <w:rPr>
                <w:sz w:val="20"/>
                <w:szCs w:val="20"/>
              </w:rPr>
            </w:pPr>
            <w:r w:rsidRPr="00673E62">
              <w:rPr>
                <w:u w:val="single"/>
              </w:rPr>
              <w:t xml:space="preserve">Victorian Childhood </w:t>
            </w:r>
            <w:r w:rsidR="00673E62" w:rsidRPr="00673E62">
              <w:rPr>
                <w:u w:val="single"/>
              </w:rPr>
              <w:t>7 Knowledge Organiser</w:t>
            </w:r>
          </w:p>
        </w:tc>
      </w:tr>
      <w:tr w:rsidR="00E600B6" w:rsidTr="00673E62">
        <w:tc>
          <w:tcPr>
            <w:tcW w:w="4928" w:type="dxa"/>
          </w:tcPr>
          <w:p w:rsidR="00E600B6" w:rsidRPr="00811807" w:rsidRDefault="00E600B6" w:rsidP="00673E62">
            <w:pPr>
              <w:jc w:val="center"/>
              <w:rPr>
                <w:u w:val="single"/>
              </w:rPr>
            </w:pPr>
            <w:r w:rsidRPr="00811807">
              <w:rPr>
                <w:u w:val="single"/>
              </w:rPr>
              <w:t>Vocabulary</w:t>
            </w:r>
          </w:p>
          <w:p w:rsidR="00E600B6" w:rsidRDefault="00E600B6" w:rsidP="00A33BE7">
            <w:proofErr w:type="spellStart"/>
            <w:r w:rsidRPr="00673E62">
              <w:rPr>
                <w:b/>
                <w:color w:val="548DD4" w:themeColor="text2" w:themeTint="99"/>
              </w:rPr>
              <w:t>Piecer</w:t>
            </w:r>
            <w:proofErr w:type="spellEnd"/>
            <w:r>
              <w:t xml:space="preserve">: </w:t>
            </w:r>
            <w:r w:rsidRPr="00072B49">
              <w:t>a person, often a child, employed in a spinning mill to join the ends of broken threads.</w:t>
            </w:r>
            <w:r>
              <w:t xml:space="preserve">     </w:t>
            </w:r>
          </w:p>
          <w:p w:rsidR="00E600B6" w:rsidRDefault="00E600B6" w:rsidP="00A33BE7">
            <w:r w:rsidRPr="00673E62">
              <w:rPr>
                <w:b/>
                <w:color w:val="548DD4" w:themeColor="text2" w:themeTint="99"/>
              </w:rPr>
              <w:t>Bombarded</w:t>
            </w:r>
            <w:r>
              <w:t>:</w:t>
            </w:r>
            <w:r w:rsidRPr="00072B49">
              <w:t xml:space="preserve"> attack (a place or person) continuously with bombs, shells, or other missiles.</w:t>
            </w:r>
          </w:p>
          <w:p w:rsidR="00E600B6" w:rsidRDefault="00E600B6" w:rsidP="00A33BE7">
            <w:r w:rsidRPr="00673E62">
              <w:rPr>
                <w:b/>
                <w:color w:val="548DD4" w:themeColor="text2" w:themeTint="99"/>
              </w:rPr>
              <w:t>Bobbin</w:t>
            </w:r>
            <w:r>
              <w:t xml:space="preserve">: </w:t>
            </w:r>
            <w:r w:rsidRPr="00072B49">
              <w:t>a cylinder or spindle on which yarn or thread is wound (as in a sewing machine) </w:t>
            </w:r>
            <w:r>
              <w:t xml:space="preserve">             </w:t>
            </w:r>
          </w:p>
          <w:p w:rsidR="00E600B6" w:rsidRDefault="00E600B6" w:rsidP="00A33BE7">
            <w:r w:rsidRPr="00673E62">
              <w:rPr>
                <w:b/>
                <w:color w:val="548DD4" w:themeColor="text2" w:themeTint="99"/>
              </w:rPr>
              <w:t>Custom</w:t>
            </w:r>
            <w:r>
              <w:t xml:space="preserve">: </w:t>
            </w:r>
            <w:r w:rsidRPr="00072B49">
              <w:t>a traditional and widely accepted way of behaving or doing something that is specific to a particular society, place, or time.</w:t>
            </w:r>
            <w:r>
              <w:t xml:space="preserve">           </w:t>
            </w:r>
          </w:p>
          <w:p w:rsidR="00E600B6" w:rsidRDefault="00E600B6" w:rsidP="00811807">
            <w:r w:rsidRPr="00673E62">
              <w:rPr>
                <w:b/>
                <w:color w:val="548DD4" w:themeColor="text2" w:themeTint="99"/>
              </w:rPr>
              <w:t>Class</w:t>
            </w:r>
            <w:r>
              <w:t xml:space="preserve">: </w:t>
            </w:r>
            <w:r w:rsidRPr="00072B49">
              <w:t>a system of ordering society whereby people are divided into sets based on perceived social or economic status.</w:t>
            </w:r>
          </w:p>
          <w:p w:rsidR="00E600B6" w:rsidRDefault="00E600B6" w:rsidP="00811807">
            <w:r w:rsidRPr="00673E62">
              <w:rPr>
                <w:b/>
                <w:color w:val="548DD4" w:themeColor="text2" w:themeTint="99"/>
              </w:rPr>
              <w:t>Working</w:t>
            </w:r>
            <w:r>
              <w:t xml:space="preserve"> </w:t>
            </w:r>
            <w:r w:rsidRPr="00673E62">
              <w:rPr>
                <w:b/>
                <w:color w:val="548DD4" w:themeColor="text2" w:themeTint="99"/>
              </w:rPr>
              <w:t>mills</w:t>
            </w:r>
            <w:r>
              <w:t xml:space="preserve">: </w:t>
            </w:r>
            <w:r w:rsidRPr="00072B49">
              <w:t>A mill is a device that breaks solid materials into smaller pieces by grin</w:t>
            </w:r>
            <w:r w:rsidR="00673E62">
              <w:t xml:space="preserve">ding, crushing, or cutting. </w:t>
            </w:r>
            <w:r w:rsidRPr="00072B49">
              <w:t>Historically mills</w:t>
            </w:r>
            <w:r>
              <w:t xml:space="preserve"> </w:t>
            </w:r>
            <w:r w:rsidRPr="00072B49">
              <w:t>were powered by hand (e.g., via a hand crank), working</w:t>
            </w:r>
            <w:r>
              <w:t xml:space="preserve"> </w:t>
            </w:r>
            <w:r w:rsidRPr="00072B49">
              <w:t>animal (e.g., horse mill), wind (windmill) or water (watermill).</w:t>
            </w:r>
          </w:p>
          <w:p w:rsidR="00E600B6" w:rsidRDefault="00E600B6" w:rsidP="00A33BE7">
            <w:pPr>
              <w:tabs>
                <w:tab w:val="left" w:pos="2025"/>
              </w:tabs>
              <w:rPr>
                <w:sz w:val="32"/>
                <w:szCs w:val="32"/>
                <w:u w:val="single"/>
              </w:rPr>
            </w:pPr>
          </w:p>
        </w:tc>
        <w:tc>
          <w:tcPr>
            <w:tcW w:w="6379" w:type="dxa"/>
          </w:tcPr>
          <w:p w:rsidR="00E600B6" w:rsidRDefault="00E600B6" w:rsidP="00673E62">
            <w:pPr>
              <w:jc w:val="center"/>
              <w:rPr>
                <w:rFonts w:ascii="Segoe UI" w:eastAsia="Times New Roman" w:hAnsi="Segoe UI"/>
                <w:sz w:val="18"/>
                <w:szCs w:val="18"/>
                <w:lang w:eastAsia="en-GB"/>
              </w:rPr>
            </w:pPr>
            <w:r w:rsidRPr="00673E62">
              <w:rPr>
                <w:u w:val="single"/>
              </w:rPr>
              <w:t>Timeline</w:t>
            </w:r>
            <w:r>
              <w:rPr>
                <w:rFonts w:ascii="Segoe UI" w:eastAsia="Times New Roman" w:hAnsi="Segoe UI"/>
                <w:sz w:val="18"/>
                <w:szCs w:val="18"/>
                <w:lang w:eastAsia="en-GB"/>
              </w:rPr>
              <w:t>:</w:t>
            </w:r>
          </w:p>
          <w:p w:rsidR="00E600B6" w:rsidRPr="00B6466F" w:rsidRDefault="00E600B6" w:rsidP="00C666CB">
            <w:pPr>
              <w:rPr>
                <w:rFonts w:ascii="Segoe UI" w:eastAsia="Times New Roman" w:hAnsi="Segoe UI" w:cs="Segoe UI"/>
                <w:sz w:val="18"/>
                <w:szCs w:val="18"/>
                <w:lang w:eastAsia="en-GB"/>
              </w:rPr>
            </w:pPr>
            <w:r w:rsidRPr="00673E62">
              <w:rPr>
                <w:b/>
                <w:color w:val="548DD4" w:themeColor="text2" w:themeTint="99"/>
              </w:rPr>
              <w:t>1841</w:t>
            </w:r>
            <w:r w:rsidRPr="00B6466F">
              <w:rPr>
                <w:rFonts w:ascii="Segoe UI" w:eastAsia="Times New Roman" w:hAnsi="Segoe UI"/>
                <w:sz w:val="18"/>
                <w:szCs w:val="18"/>
                <w:lang w:eastAsia="en-GB"/>
              </w:rPr>
              <w:t xml:space="preserve"> Mines Act - No child under the age of 10 to work underground in a coal mine.</w:t>
            </w:r>
            <w:r w:rsidRPr="00B6466F">
              <w:rPr>
                <w:rFonts w:ascii="Segoe UI" w:eastAsia="Times New Roman" w:hAnsi="Segoe UI" w:cs="Segoe UI"/>
                <w:sz w:val="18"/>
                <w:szCs w:val="18"/>
                <w:lang w:eastAsia="en-GB"/>
              </w:rPr>
              <w:t>​</w:t>
            </w:r>
          </w:p>
          <w:p w:rsidR="00E600B6" w:rsidRDefault="00E600B6" w:rsidP="00673E62">
            <w:pPr>
              <w:rPr>
                <w:rFonts w:ascii="Segoe UI" w:hAnsi="Segoe UI"/>
                <w:sz w:val="18"/>
                <w:szCs w:val="18"/>
              </w:rPr>
            </w:pPr>
            <w:r w:rsidRPr="00673E62">
              <w:rPr>
                <w:b/>
                <w:color w:val="548DD4" w:themeColor="text2" w:themeTint="99"/>
              </w:rPr>
              <w:t>1843</w:t>
            </w:r>
            <w:r w:rsidRPr="00B6466F">
              <w:rPr>
                <w:rFonts w:ascii="Segoe UI" w:hAnsi="Segoe UI"/>
                <w:sz w:val="18"/>
                <w:szCs w:val="18"/>
              </w:rPr>
              <w:t xml:space="preserve"> edition of Blackwood’s magazine </w:t>
            </w:r>
            <w:r>
              <w:rPr>
                <w:rFonts w:ascii="Segoe UI" w:hAnsi="Segoe UI"/>
                <w:sz w:val="18"/>
                <w:szCs w:val="18"/>
              </w:rPr>
              <w:t xml:space="preserve">published E Browning’s poetry </w:t>
            </w:r>
          </w:p>
          <w:p w:rsidR="00E600B6" w:rsidRPr="00B6466F" w:rsidRDefault="00E600B6" w:rsidP="00673E62">
            <w:pPr>
              <w:rPr>
                <w:rFonts w:ascii="Segoe UI" w:hAnsi="Segoe UI" w:cs="Segoe UI"/>
                <w:sz w:val="18"/>
                <w:szCs w:val="18"/>
              </w:rPr>
            </w:pPr>
            <w:r w:rsidRPr="00673E62">
              <w:rPr>
                <w:b/>
                <w:color w:val="548DD4" w:themeColor="text2" w:themeTint="99"/>
              </w:rPr>
              <w:t>1842–43</w:t>
            </w:r>
            <w:r w:rsidRPr="00B6466F">
              <w:rPr>
                <w:rFonts w:ascii="Segoe UI" w:hAnsi="Segoe UI"/>
                <w:sz w:val="18"/>
                <w:szCs w:val="18"/>
              </w:rPr>
              <w:t xml:space="preserve"> investigation into conditions of children in mines and factories  </w:t>
            </w:r>
          </w:p>
          <w:p w:rsidR="00E600B6" w:rsidRDefault="00E600B6" w:rsidP="00C666CB">
            <w:pPr>
              <w:pStyle w:val="paragraph"/>
              <w:spacing w:before="0" w:beforeAutospacing="0" w:after="0" w:afterAutospacing="0"/>
              <w:textAlignment w:val="baseline"/>
              <w:rPr>
                <w:rFonts w:ascii="Segoe UI" w:hAnsi="Segoe UI" w:cs="Segoe UI"/>
                <w:sz w:val="18"/>
                <w:szCs w:val="18"/>
              </w:rPr>
            </w:pPr>
            <w:r w:rsidRPr="00673E62">
              <w:rPr>
                <w:rFonts w:asciiTheme="minorHAnsi" w:eastAsiaTheme="minorHAnsi" w:hAnsiTheme="minorHAnsi" w:cstheme="minorBidi"/>
                <w:b/>
                <w:color w:val="548DD4" w:themeColor="text2" w:themeTint="99"/>
                <w:sz w:val="22"/>
                <w:szCs w:val="22"/>
                <w:lang w:eastAsia="en-US"/>
              </w:rPr>
              <w:t>1843:</w:t>
            </w:r>
            <w:r w:rsidRPr="00B6466F">
              <w:rPr>
                <w:rFonts w:ascii="Segoe UI" w:hAnsi="Segoe UI"/>
                <w:sz w:val="18"/>
                <w:szCs w:val="18"/>
              </w:rPr>
              <w:t xml:space="preserve"> ‘The Cry of the Children’</w:t>
            </w:r>
            <w:r>
              <w:rPr>
                <w:rFonts w:ascii="Segoe UI" w:hAnsi="Segoe UI"/>
                <w:sz w:val="18"/>
                <w:szCs w:val="18"/>
              </w:rPr>
              <w:t xml:space="preserve"> report written </w:t>
            </w:r>
          </w:p>
          <w:p w:rsidR="00E600B6" w:rsidRPr="00B6466F" w:rsidRDefault="00E600B6" w:rsidP="00C666CB">
            <w:pPr>
              <w:pStyle w:val="paragraph"/>
              <w:spacing w:before="0" w:beforeAutospacing="0" w:after="0" w:afterAutospacing="0"/>
              <w:textAlignment w:val="baseline"/>
              <w:rPr>
                <w:rFonts w:ascii="Segoe UI" w:hAnsi="Segoe UI"/>
                <w:sz w:val="18"/>
                <w:szCs w:val="18"/>
              </w:rPr>
            </w:pPr>
            <w:r w:rsidRPr="00673E62">
              <w:rPr>
                <w:rFonts w:asciiTheme="minorHAnsi" w:eastAsiaTheme="minorHAnsi" w:hAnsiTheme="minorHAnsi" w:cstheme="minorBidi"/>
                <w:b/>
                <w:color w:val="548DD4" w:themeColor="text2" w:themeTint="99"/>
                <w:sz w:val="22"/>
                <w:szCs w:val="22"/>
                <w:lang w:eastAsia="en-US"/>
              </w:rPr>
              <w:t>1847</w:t>
            </w:r>
            <w:r w:rsidRPr="00B6466F">
              <w:rPr>
                <w:rFonts w:ascii="Segoe UI" w:hAnsi="Segoe UI"/>
                <w:sz w:val="18"/>
                <w:szCs w:val="18"/>
              </w:rPr>
              <w:t xml:space="preserve"> Ten Hour Act - No child to work more than 10 hours in a day.​</w:t>
            </w:r>
          </w:p>
          <w:p w:rsidR="00E600B6" w:rsidRDefault="00E600B6" w:rsidP="00C666CB">
            <w:pPr>
              <w:pStyle w:val="paragraph"/>
              <w:spacing w:before="0" w:beforeAutospacing="0" w:after="0" w:afterAutospacing="0"/>
              <w:textAlignment w:val="baseline"/>
              <w:rPr>
                <w:rFonts w:ascii="Segoe UI" w:hAnsi="Segoe UI"/>
                <w:sz w:val="18"/>
                <w:szCs w:val="18"/>
              </w:rPr>
            </w:pPr>
            <w:r w:rsidRPr="00673E62">
              <w:rPr>
                <w:rFonts w:asciiTheme="minorHAnsi" w:eastAsiaTheme="minorHAnsi" w:hAnsiTheme="minorHAnsi" w:cstheme="minorBidi"/>
                <w:b/>
                <w:color w:val="548DD4" w:themeColor="text2" w:themeTint="99"/>
                <w:sz w:val="22"/>
                <w:szCs w:val="22"/>
                <w:lang w:eastAsia="en-US"/>
              </w:rPr>
              <w:t>1851:</w:t>
            </w:r>
            <w:r w:rsidRPr="00B6466F">
              <w:rPr>
                <w:rFonts w:ascii="Segoe UI" w:hAnsi="Segoe UI"/>
                <w:sz w:val="18"/>
                <w:szCs w:val="18"/>
              </w:rPr>
              <w:t xml:space="preserve"> 1/3 children received no education at all</w:t>
            </w:r>
          </w:p>
          <w:p w:rsidR="00E600B6" w:rsidRPr="00B6466F" w:rsidRDefault="00E600B6" w:rsidP="00C666CB">
            <w:pPr>
              <w:pStyle w:val="paragraph"/>
              <w:spacing w:before="0" w:beforeAutospacing="0" w:after="0" w:afterAutospacing="0"/>
              <w:textAlignment w:val="baseline"/>
              <w:rPr>
                <w:rFonts w:ascii="Segoe UI" w:hAnsi="Segoe UI"/>
                <w:sz w:val="18"/>
                <w:szCs w:val="18"/>
              </w:rPr>
            </w:pPr>
            <w:r w:rsidRPr="00673E62">
              <w:rPr>
                <w:rFonts w:asciiTheme="minorHAnsi" w:eastAsiaTheme="minorHAnsi" w:hAnsiTheme="minorHAnsi" w:cstheme="minorBidi"/>
                <w:b/>
                <w:color w:val="548DD4" w:themeColor="text2" w:themeTint="99"/>
                <w:sz w:val="22"/>
                <w:szCs w:val="22"/>
                <w:lang w:eastAsia="en-US"/>
              </w:rPr>
              <w:t xml:space="preserve">1854: </w:t>
            </w:r>
            <w:r>
              <w:rPr>
                <w:rFonts w:ascii="Segoe UI" w:hAnsi="Segoe UI"/>
                <w:sz w:val="18"/>
                <w:szCs w:val="18"/>
              </w:rPr>
              <w:t xml:space="preserve">Huge cholera outbreak. </w:t>
            </w:r>
          </w:p>
          <w:p w:rsidR="00E600B6" w:rsidRPr="00B6466F" w:rsidRDefault="00E600B6" w:rsidP="00C666CB">
            <w:pPr>
              <w:pStyle w:val="paragraph"/>
              <w:spacing w:before="0" w:beforeAutospacing="0" w:after="0" w:afterAutospacing="0"/>
              <w:textAlignment w:val="baseline"/>
              <w:rPr>
                <w:rFonts w:ascii="Segoe UI" w:hAnsi="Segoe UI"/>
                <w:sz w:val="18"/>
                <w:szCs w:val="18"/>
              </w:rPr>
            </w:pPr>
            <w:r w:rsidRPr="00673E62">
              <w:rPr>
                <w:rFonts w:asciiTheme="minorHAnsi" w:eastAsiaTheme="minorHAnsi" w:hAnsiTheme="minorHAnsi" w:cstheme="minorBidi"/>
                <w:b/>
                <w:color w:val="548DD4" w:themeColor="text2" w:themeTint="99"/>
                <w:sz w:val="22"/>
                <w:szCs w:val="22"/>
                <w:lang w:eastAsia="en-US"/>
              </w:rPr>
              <w:t>1860s:</w:t>
            </w:r>
            <w:r w:rsidRPr="00B6466F">
              <w:rPr>
                <w:rFonts w:ascii="Segoe UI" w:hAnsi="Segoe UI"/>
                <w:sz w:val="18"/>
                <w:szCs w:val="18"/>
              </w:rPr>
              <w:t xml:space="preserve"> the annual funding allocated for schools by Parliament exceeded £800,00</w:t>
            </w:r>
          </w:p>
          <w:p w:rsidR="00E600B6" w:rsidRPr="00B6466F" w:rsidRDefault="00E600B6" w:rsidP="00C666CB">
            <w:pPr>
              <w:pStyle w:val="paragraph"/>
              <w:spacing w:before="0" w:beforeAutospacing="0" w:after="0" w:afterAutospacing="0"/>
              <w:textAlignment w:val="baseline"/>
              <w:rPr>
                <w:rFonts w:ascii="Segoe UI" w:hAnsi="Segoe UI" w:cs="Segoe UI"/>
                <w:sz w:val="18"/>
                <w:szCs w:val="18"/>
              </w:rPr>
            </w:pPr>
            <w:r w:rsidRPr="00673E62">
              <w:rPr>
                <w:rFonts w:asciiTheme="minorHAnsi" w:eastAsiaTheme="minorHAnsi" w:hAnsiTheme="minorHAnsi" w:cstheme="minorBidi"/>
                <w:b/>
                <w:color w:val="548DD4" w:themeColor="text2" w:themeTint="99"/>
                <w:sz w:val="22"/>
                <w:szCs w:val="22"/>
                <w:lang w:eastAsia="en-US"/>
              </w:rPr>
              <w:t>1865:</w:t>
            </w:r>
            <w:r w:rsidRPr="00B6466F">
              <w:rPr>
                <w:rFonts w:ascii="Segoe UI" w:hAnsi="Segoe UI"/>
                <w:sz w:val="18"/>
                <w:szCs w:val="18"/>
              </w:rPr>
              <w:t xml:space="preserve"> Alice in Wonderland</w:t>
            </w:r>
          </w:p>
          <w:p w:rsidR="00E600B6" w:rsidRPr="00B6466F" w:rsidRDefault="00E600B6" w:rsidP="00C666CB">
            <w:pPr>
              <w:pStyle w:val="paragraph"/>
              <w:spacing w:before="0" w:beforeAutospacing="0" w:after="0" w:afterAutospacing="0"/>
              <w:textAlignment w:val="baseline"/>
              <w:rPr>
                <w:rFonts w:ascii="Segoe UI" w:hAnsi="Segoe UI"/>
                <w:sz w:val="18"/>
                <w:szCs w:val="18"/>
              </w:rPr>
            </w:pPr>
            <w:r w:rsidRPr="00673E62">
              <w:rPr>
                <w:rFonts w:asciiTheme="minorHAnsi" w:eastAsiaTheme="minorHAnsi" w:hAnsiTheme="minorHAnsi" w:cstheme="minorBidi"/>
                <w:b/>
                <w:color w:val="548DD4" w:themeColor="text2" w:themeTint="99"/>
                <w:sz w:val="22"/>
                <w:szCs w:val="22"/>
                <w:lang w:eastAsia="en-US"/>
              </w:rPr>
              <w:t>1874:</w:t>
            </w:r>
            <w:r w:rsidRPr="00B6466F">
              <w:rPr>
                <w:rFonts w:ascii="Segoe UI" w:hAnsi="Segoe UI"/>
                <w:sz w:val="18"/>
                <w:szCs w:val="18"/>
              </w:rPr>
              <w:t xml:space="preserve"> Factory Act - No child under the age of 10 to be employed in a factory​</w:t>
            </w:r>
          </w:p>
          <w:p w:rsidR="00E600B6" w:rsidRPr="00B6466F" w:rsidRDefault="00E600B6" w:rsidP="00C666CB">
            <w:pPr>
              <w:pStyle w:val="paragraph"/>
              <w:spacing w:before="0" w:beforeAutospacing="0" w:after="0" w:afterAutospacing="0"/>
              <w:textAlignment w:val="baseline"/>
              <w:rPr>
                <w:rFonts w:ascii="Segoe UI" w:hAnsi="Segoe UI" w:cs="Segoe UI"/>
                <w:sz w:val="18"/>
                <w:szCs w:val="18"/>
              </w:rPr>
            </w:pPr>
            <w:r w:rsidRPr="00673E62">
              <w:rPr>
                <w:rFonts w:asciiTheme="minorHAnsi" w:eastAsiaTheme="minorHAnsi" w:hAnsiTheme="minorHAnsi" w:cstheme="minorBidi"/>
                <w:b/>
                <w:color w:val="548DD4" w:themeColor="text2" w:themeTint="99"/>
                <w:sz w:val="22"/>
                <w:szCs w:val="22"/>
                <w:lang w:eastAsia="en-US"/>
              </w:rPr>
              <w:t>1880:</w:t>
            </w:r>
            <w:r>
              <w:rPr>
                <w:rFonts w:ascii="Segoe UI" w:hAnsi="Segoe UI"/>
                <w:sz w:val="18"/>
                <w:szCs w:val="18"/>
              </w:rPr>
              <w:t xml:space="preserve"> A </w:t>
            </w:r>
            <w:r w:rsidRPr="00B6466F">
              <w:rPr>
                <w:rFonts w:ascii="Segoe UI" w:hAnsi="Segoe UI"/>
                <w:sz w:val="18"/>
                <w:szCs w:val="18"/>
              </w:rPr>
              <w:t>further Education Act finally made school attendance compulsory between the ages of five and ten</w:t>
            </w:r>
          </w:p>
          <w:p w:rsidR="00E600B6" w:rsidRPr="00B6466F" w:rsidRDefault="00E600B6" w:rsidP="00C666CB">
            <w:pPr>
              <w:pStyle w:val="paragraph"/>
              <w:spacing w:before="0" w:beforeAutospacing="0" w:after="0" w:afterAutospacing="0"/>
              <w:textAlignment w:val="baseline"/>
              <w:rPr>
                <w:rFonts w:ascii="Segoe UI" w:hAnsi="Segoe UI" w:cs="Segoe UI"/>
                <w:sz w:val="18"/>
                <w:szCs w:val="18"/>
              </w:rPr>
            </w:pPr>
            <w:r w:rsidRPr="00673E62">
              <w:rPr>
                <w:rFonts w:asciiTheme="minorHAnsi" w:eastAsiaTheme="minorHAnsi" w:hAnsiTheme="minorHAnsi" w:cstheme="minorBidi"/>
                <w:b/>
                <w:color w:val="548DD4" w:themeColor="text2" w:themeTint="99"/>
                <w:sz w:val="22"/>
                <w:szCs w:val="22"/>
                <w:lang w:eastAsia="en-US"/>
              </w:rPr>
              <w:t>1895:</w:t>
            </w:r>
            <w:r w:rsidRPr="00B6466F">
              <w:rPr>
                <w:rFonts w:ascii="Segoe UI" w:hAnsi="Segoe UI" w:cs="Segoe UI"/>
                <w:sz w:val="18"/>
                <w:szCs w:val="18"/>
              </w:rPr>
              <w:t xml:space="preserve"> Motion pictures </w:t>
            </w:r>
            <w:r>
              <w:rPr>
                <w:rFonts w:ascii="Segoe UI" w:hAnsi="Segoe UI" w:cs="Segoe UI"/>
                <w:sz w:val="18"/>
                <w:szCs w:val="18"/>
              </w:rPr>
              <w:t>launched</w:t>
            </w:r>
          </w:p>
          <w:p w:rsidR="00E600B6" w:rsidRDefault="00E600B6" w:rsidP="00C666CB">
            <w:pPr>
              <w:pStyle w:val="paragraph"/>
              <w:spacing w:before="0" w:beforeAutospacing="0" w:after="0" w:afterAutospacing="0"/>
              <w:textAlignment w:val="baseline"/>
              <w:rPr>
                <w:rFonts w:ascii="Segoe UI" w:hAnsi="Segoe UI" w:cs="Segoe UI"/>
                <w:sz w:val="18"/>
                <w:szCs w:val="18"/>
              </w:rPr>
            </w:pPr>
            <w:r w:rsidRPr="00B6466F">
              <w:rPr>
                <w:rFonts w:ascii="Segoe UI" w:hAnsi="Segoe UI" w:cs="Segoe UI"/>
                <w:sz w:val="18"/>
                <w:szCs w:val="18"/>
              </w:rPr>
              <w:t>​</w:t>
            </w:r>
            <w:r w:rsidRPr="00673E62">
              <w:rPr>
                <w:rFonts w:asciiTheme="minorHAnsi" w:eastAsiaTheme="minorHAnsi" w:hAnsiTheme="minorHAnsi" w:cstheme="minorBidi"/>
                <w:b/>
                <w:color w:val="548DD4" w:themeColor="text2" w:themeTint="99"/>
                <w:sz w:val="22"/>
                <w:szCs w:val="22"/>
                <w:lang w:eastAsia="en-US"/>
              </w:rPr>
              <w:t>1891:</w:t>
            </w:r>
            <w:r>
              <w:rPr>
                <w:rFonts w:ascii="Segoe UI" w:hAnsi="Segoe UI" w:cs="Segoe UI"/>
                <w:sz w:val="18"/>
                <w:szCs w:val="18"/>
              </w:rPr>
              <w:t xml:space="preserve"> Society for the Prevention of Cruelty to Children established </w:t>
            </w:r>
          </w:p>
          <w:p w:rsidR="00E600B6" w:rsidRPr="00E600B6" w:rsidRDefault="00E600B6" w:rsidP="00E600B6">
            <w:pPr>
              <w:pStyle w:val="paragraph"/>
              <w:spacing w:before="0" w:beforeAutospacing="0" w:after="0" w:afterAutospacing="0"/>
              <w:textAlignment w:val="baseline"/>
              <w:rPr>
                <w:rFonts w:ascii="Segoe UI" w:hAnsi="Segoe UI" w:cs="Segoe UI"/>
                <w:sz w:val="18"/>
                <w:szCs w:val="18"/>
              </w:rPr>
            </w:pPr>
            <w:r w:rsidRPr="00673E62">
              <w:rPr>
                <w:rFonts w:asciiTheme="minorHAnsi" w:eastAsiaTheme="minorHAnsi" w:hAnsiTheme="minorHAnsi" w:cstheme="minorBidi"/>
                <w:b/>
                <w:color w:val="548DD4" w:themeColor="text2" w:themeTint="99"/>
                <w:sz w:val="22"/>
                <w:szCs w:val="22"/>
                <w:lang w:eastAsia="en-US"/>
              </w:rPr>
              <w:t>1900:</w:t>
            </w:r>
            <w:r>
              <w:rPr>
                <w:rFonts w:ascii="Segoe UI" w:hAnsi="Segoe UI" w:cs="Segoe UI"/>
                <w:sz w:val="18"/>
                <w:szCs w:val="18"/>
              </w:rPr>
              <w:t xml:space="preserve"> Nearly 90% of children went to school for seven to eight years. </w:t>
            </w:r>
          </w:p>
        </w:tc>
        <w:tc>
          <w:tcPr>
            <w:tcW w:w="4045" w:type="dxa"/>
          </w:tcPr>
          <w:p w:rsidR="00E600B6" w:rsidRPr="00B6466F" w:rsidRDefault="00E600B6" w:rsidP="00673E62">
            <w:pPr>
              <w:jc w:val="center"/>
              <w:rPr>
                <w:u w:val="single"/>
              </w:rPr>
            </w:pPr>
            <w:r w:rsidRPr="00B6466F">
              <w:rPr>
                <w:u w:val="single"/>
              </w:rPr>
              <w:t>Fic</w:t>
            </w:r>
            <w:r>
              <w:rPr>
                <w:u w:val="single"/>
              </w:rPr>
              <w:t>tion</w:t>
            </w:r>
            <w:r w:rsidRPr="00B6466F">
              <w:rPr>
                <w:u w:val="single"/>
              </w:rPr>
              <w:t xml:space="preserve"> reading:</w:t>
            </w:r>
          </w:p>
          <w:p w:rsidR="00E600B6" w:rsidRDefault="00E600B6" w:rsidP="00A33BE7">
            <w:r w:rsidRPr="00673E62">
              <w:rPr>
                <w:b/>
                <w:color w:val="548DD4" w:themeColor="text2" w:themeTint="99"/>
              </w:rPr>
              <w:t>David Copperfield</w:t>
            </w:r>
            <w:r w:rsidRPr="00673E62">
              <w:rPr>
                <w:color w:val="548DD4" w:themeColor="text2" w:themeTint="99"/>
              </w:rPr>
              <w:t xml:space="preserve"> </w:t>
            </w:r>
            <w:r>
              <w:t>by C Dickens.</w:t>
            </w:r>
          </w:p>
          <w:p w:rsidR="00E600B6" w:rsidRDefault="00E600B6" w:rsidP="00A33BE7">
            <w:r w:rsidRPr="00673E62">
              <w:rPr>
                <w:b/>
                <w:color w:val="548DD4" w:themeColor="text2" w:themeTint="99"/>
              </w:rPr>
              <w:t>Dr Jekyll and Mr Hyde</w:t>
            </w:r>
            <w:r w:rsidRPr="00673E62">
              <w:rPr>
                <w:color w:val="548DD4" w:themeColor="text2" w:themeTint="99"/>
              </w:rPr>
              <w:t xml:space="preserve"> </w:t>
            </w:r>
            <w:r>
              <w:t>by R Stevenson</w:t>
            </w:r>
          </w:p>
          <w:p w:rsidR="00E600B6" w:rsidRDefault="00E600B6" w:rsidP="00A33BE7">
            <w:r w:rsidRPr="00673E62">
              <w:rPr>
                <w:b/>
                <w:color w:val="548DD4" w:themeColor="text2" w:themeTint="99"/>
              </w:rPr>
              <w:t>Great Expectations</w:t>
            </w:r>
            <w:r>
              <w:t xml:space="preserve"> by C Dickens.</w:t>
            </w:r>
          </w:p>
          <w:p w:rsidR="00E600B6" w:rsidRDefault="00E600B6" w:rsidP="00A33BE7">
            <w:r w:rsidRPr="00673E62">
              <w:rPr>
                <w:b/>
                <w:color w:val="548DD4" w:themeColor="text2" w:themeTint="99"/>
              </w:rPr>
              <w:t>Hard Times</w:t>
            </w:r>
            <w:r>
              <w:t xml:space="preserve"> by C Dickens</w:t>
            </w:r>
          </w:p>
          <w:p w:rsidR="00E600B6" w:rsidRDefault="00E600B6" w:rsidP="00A33BE7">
            <w:r w:rsidRPr="00673E62">
              <w:rPr>
                <w:b/>
                <w:color w:val="548DD4" w:themeColor="text2" w:themeTint="99"/>
              </w:rPr>
              <w:t>Jane Eyre</w:t>
            </w:r>
            <w:r>
              <w:t xml:space="preserve"> by C Bronte</w:t>
            </w:r>
          </w:p>
          <w:p w:rsidR="00E600B6" w:rsidRDefault="00E600B6" w:rsidP="00A33BE7">
            <w:r w:rsidRPr="00673E62">
              <w:rPr>
                <w:b/>
                <w:color w:val="548DD4" w:themeColor="text2" w:themeTint="99"/>
              </w:rPr>
              <w:t xml:space="preserve">The Way of All Flesh </w:t>
            </w:r>
            <w:r>
              <w:t xml:space="preserve">by S Butler </w:t>
            </w:r>
          </w:p>
          <w:p w:rsidR="00E600B6" w:rsidRDefault="00673E62" w:rsidP="00A33BE7">
            <w:r>
              <w:rPr>
                <w:b/>
                <w:color w:val="548DD4" w:themeColor="text2" w:themeTint="99"/>
              </w:rPr>
              <w:t>North</w:t>
            </w:r>
            <w:r w:rsidR="00E600B6" w:rsidRPr="00673E62">
              <w:rPr>
                <w:b/>
                <w:color w:val="548DD4" w:themeColor="text2" w:themeTint="99"/>
              </w:rPr>
              <w:t>anger Abbey</w:t>
            </w:r>
            <w:r w:rsidR="00E600B6">
              <w:t xml:space="preserve"> by C Dickens</w:t>
            </w:r>
          </w:p>
          <w:p w:rsidR="00E600B6" w:rsidRDefault="00E600B6" w:rsidP="00A33BE7">
            <w:r w:rsidRPr="00673E62">
              <w:rPr>
                <w:b/>
                <w:color w:val="548DD4" w:themeColor="text2" w:themeTint="99"/>
              </w:rPr>
              <w:t>Oliver Twist</w:t>
            </w:r>
            <w:r>
              <w:t xml:space="preserve"> by C Dickens</w:t>
            </w:r>
          </w:p>
          <w:p w:rsidR="00E600B6" w:rsidRPr="0050452D" w:rsidRDefault="00E600B6" w:rsidP="00A33BE7">
            <w:r w:rsidRPr="00673E62">
              <w:rPr>
                <w:b/>
                <w:color w:val="548DD4" w:themeColor="text2" w:themeTint="99"/>
              </w:rPr>
              <w:t>Alice in Wonderland</w:t>
            </w:r>
            <w:r>
              <w:t xml:space="preserve"> by </w:t>
            </w:r>
            <w:r w:rsidRPr="00E600B6">
              <w:t>Lewis Carroll</w:t>
            </w:r>
          </w:p>
          <w:p w:rsidR="00E600B6" w:rsidRDefault="00E600B6" w:rsidP="002D281F">
            <w:r w:rsidRPr="00673E62">
              <w:rPr>
                <w:b/>
                <w:color w:val="548DD4" w:themeColor="text2" w:themeTint="99"/>
              </w:rPr>
              <w:t>Wuthering Heights</w:t>
            </w:r>
            <w:r>
              <w:t xml:space="preserve"> by E Bronte</w:t>
            </w:r>
          </w:p>
          <w:p w:rsidR="00E600B6" w:rsidRDefault="00E600B6" w:rsidP="00E600B6">
            <w:r w:rsidRPr="00673E62">
              <w:rPr>
                <w:b/>
                <w:color w:val="548DD4" w:themeColor="text2" w:themeTint="99"/>
              </w:rPr>
              <w:t xml:space="preserve">Silas </w:t>
            </w:r>
            <w:proofErr w:type="spellStart"/>
            <w:r w:rsidRPr="00673E62">
              <w:rPr>
                <w:b/>
                <w:color w:val="548DD4" w:themeColor="text2" w:themeTint="99"/>
              </w:rPr>
              <w:t>Marner</w:t>
            </w:r>
            <w:proofErr w:type="spellEnd"/>
            <w:r>
              <w:t xml:space="preserve"> by G Eliot</w:t>
            </w:r>
          </w:p>
          <w:p w:rsidR="00E600B6" w:rsidRDefault="00E600B6" w:rsidP="00E600B6">
            <w:r w:rsidRPr="00673E62">
              <w:rPr>
                <w:b/>
                <w:color w:val="548DD4" w:themeColor="text2" w:themeTint="99"/>
              </w:rPr>
              <w:t>Water Babies</w:t>
            </w:r>
            <w:r>
              <w:t xml:space="preserve"> by C Kingsley </w:t>
            </w:r>
          </w:p>
          <w:p w:rsidR="00E600B6" w:rsidRDefault="00E600B6" w:rsidP="002D281F"/>
          <w:p w:rsidR="00E600B6" w:rsidRDefault="00E600B6" w:rsidP="00673E62">
            <w:pPr>
              <w:jc w:val="center"/>
            </w:pPr>
            <w:r>
              <w:rPr>
                <w:u w:val="single"/>
              </w:rPr>
              <w:t>Poetry:</w:t>
            </w:r>
          </w:p>
          <w:p w:rsidR="00E600B6" w:rsidRDefault="00E600B6" w:rsidP="00072B49">
            <w:r w:rsidRPr="00673E62">
              <w:rPr>
                <w:b/>
                <w:color w:val="548DD4" w:themeColor="text2" w:themeTint="99"/>
              </w:rPr>
              <w:t>Nurse’s Song</w:t>
            </w:r>
            <w:r>
              <w:t xml:space="preserve"> by W Blake </w:t>
            </w:r>
          </w:p>
          <w:p w:rsidR="00E600B6" w:rsidRDefault="00E600B6" w:rsidP="00072B49">
            <w:r w:rsidRPr="00673E62">
              <w:rPr>
                <w:b/>
                <w:color w:val="548DD4" w:themeColor="text2" w:themeTint="99"/>
              </w:rPr>
              <w:t>The Chimney Boy</w:t>
            </w:r>
            <w:r>
              <w:t xml:space="preserve"> by W Magee</w:t>
            </w:r>
          </w:p>
          <w:p w:rsidR="00E600B6" w:rsidRPr="00E466C7" w:rsidRDefault="00E600B6" w:rsidP="00072B49">
            <w:r w:rsidRPr="00673E62">
              <w:rPr>
                <w:b/>
                <w:color w:val="548DD4" w:themeColor="text2" w:themeTint="99"/>
              </w:rPr>
              <w:t>The Chimney Sweeper</w:t>
            </w:r>
            <w:r>
              <w:t xml:space="preserve"> by W Blake</w:t>
            </w:r>
          </w:p>
          <w:p w:rsidR="00E600B6" w:rsidRDefault="00E600B6" w:rsidP="00072B49">
            <w:r w:rsidRPr="00673E62">
              <w:rPr>
                <w:b/>
                <w:color w:val="548DD4" w:themeColor="text2" w:themeTint="99"/>
              </w:rPr>
              <w:t>The Cry of the Children</w:t>
            </w:r>
            <w:r>
              <w:t xml:space="preserve"> by E Browning </w:t>
            </w:r>
          </w:p>
          <w:p w:rsidR="00E600B6" w:rsidRDefault="00E600B6" w:rsidP="00072B49">
            <w:r w:rsidRPr="00673E62">
              <w:rPr>
                <w:b/>
                <w:color w:val="548DD4" w:themeColor="text2" w:themeTint="99"/>
              </w:rPr>
              <w:t xml:space="preserve">Mill on the Floss </w:t>
            </w:r>
            <w:r>
              <w:t>by G Eliot</w:t>
            </w:r>
          </w:p>
          <w:p w:rsidR="00E600B6" w:rsidRPr="00811807" w:rsidRDefault="00E600B6" w:rsidP="002D281F">
            <w:r w:rsidRPr="00673E62">
              <w:rPr>
                <w:b/>
                <w:color w:val="548DD4" w:themeColor="text2" w:themeTint="99"/>
              </w:rPr>
              <w:t xml:space="preserve">Jabber </w:t>
            </w:r>
            <w:proofErr w:type="spellStart"/>
            <w:r w:rsidRPr="00673E62">
              <w:rPr>
                <w:b/>
                <w:color w:val="548DD4" w:themeColor="text2" w:themeTint="99"/>
              </w:rPr>
              <w:t>woky</w:t>
            </w:r>
            <w:proofErr w:type="spellEnd"/>
            <w:r>
              <w:t xml:space="preserve"> by  L Carol</w:t>
            </w:r>
          </w:p>
        </w:tc>
      </w:tr>
      <w:tr w:rsidR="00E600B6" w:rsidTr="00E600B6">
        <w:tc>
          <w:tcPr>
            <w:tcW w:w="4928" w:type="dxa"/>
          </w:tcPr>
          <w:p w:rsidR="00E600B6" w:rsidRPr="00811807" w:rsidRDefault="00E600B6" w:rsidP="00673E62">
            <w:pPr>
              <w:jc w:val="center"/>
              <w:rPr>
                <w:u w:val="single"/>
              </w:rPr>
            </w:pPr>
            <w:r w:rsidRPr="00811807">
              <w:rPr>
                <w:u w:val="single"/>
              </w:rPr>
              <w:t>Victorian customs</w:t>
            </w:r>
            <w:r>
              <w:rPr>
                <w:u w:val="single"/>
              </w:rPr>
              <w:t>:</w:t>
            </w:r>
          </w:p>
          <w:p w:rsidR="00E600B6" w:rsidRDefault="00E600B6" w:rsidP="00E600B6">
            <w:r w:rsidRPr="00673E62">
              <w:rPr>
                <w:b/>
                <w:color w:val="548DD4" w:themeColor="text2" w:themeTint="99"/>
              </w:rPr>
              <w:t>Upper class</w:t>
            </w:r>
            <w:r w:rsidRPr="00673E62">
              <w:rPr>
                <w:color w:val="548DD4" w:themeColor="text2" w:themeTint="99"/>
              </w:rPr>
              <w:t xml:space="preserve"> </w:t>
            </w:r>
            <w:r>
              <w:t xml:space="preserve">Victorians wore restrictive clothing. </w:t>
            </w:r>
            <w:r w:rsidRPr="00673E62">
              <w:rPr>
                <w:b/>
                <w:color w:val="548DD4" w:themeColor="text2" w:themeTint="99"/>
              </w:rPr>
              <w:t>Nannies</w:t>
            </w:r>
            <w:r>
              <w:t xml:space="preserve"> were employed to look after children. Many children only saw their parents once a day.  There </w:t>
            </w:r>
            <w:r w:rsidRPr="00673E62">
              <w:rPr>
                <w:b/>
                <w:color w:val="548DD4" w:themeColor="text2" w:themeTint="99"/>
              </w:rPr>
              <w:t>wasn’t any affection</w:t>
            </w:r>
            <w:r>
              <w:t xml:space="preserve"> within families.</w:t>
            </w:r>
          </w:p>
          <w:p w:rsidR="00E600B6" w:rsidRDefault="00E600B6" w:rsidP="00E600B6"/>
          <w:p w:rsidR="00E600B6" w:rsidRDefault="00731BE6" w:rsidP="00E600B6">
            <w:r>
              <w:rPr>
                <w:b/>
                <w:color w:val="548DD4" w:themeColor="text2" w:themeTint="99"/>
              </w:rPr>
              <w:t>Corporal</w:t>
            </w:r>
            <w:bookmarkStart w:id="0" w:name="_GoBack"/>
            <w:bookmarkEnd w:id="0"/>
            <w:r w:rsidR="00E600B6" w:rsidRPr="00673E62">
              <w:rPr>
                <w:b/>
                <w:color w:val="548DD4" w:themeColor="text2" w:themeTint="99"/>
              </w:rPr>
              <w:t xml:space="preserve"> punishments</w:t>
            </w:r>
            <w:r w:rsidR="00E600B6" w:rsidRPr="00673E62">
              <w:rPr>
                <w:color w:val="548DD4" w:themeColor="text2" w:themeTint="99"/>
              </w:rPr>
              <w:t xml:space="preserve"> </w:t>
            </w:r>
            <w:r w:rsidR="00E600B6">
              <w:t>were common.</w:t>
            </w:r>
          </w:p>
          <w:p w:rsidR="00E600B6" w:rsidRDefault="00E600B6" w:rsidP="00E600B6"/>
          <w:p w:rsidR="00E600B6" w:rsidRDefault="00E600B6" w:rsidP="00E600B6">
            <w:pPr>
              <w:rPr>
                <w:sz w:val="32"/>
                <w:szCs w:val="32"/>
                <w:u w:val="single"/>
              </w:rPr>
            </w:pPr>
            <w:r w:rsidRPr="00673E62">
              <w:rPr>
                <w:b/>
                <w:color w:val="548DD4" w:themeColor="text2" w:themeTint="99"/>
              </w:rPr>
              <w:t>Lower</w:t>
            </w:r>
            <w:r>
              <w:t xml:space="preserve"> </w:t>
            </w:r>
            <w:r w:rsidRPr="00673E62">
              <w:rPr>
                <w:b/>
                <w:color w:val="548DD4" w:themeColor="text2" w:themeTint="99"/>
              </w:rPr>
              <w:t>class</w:t>
            </w:r>
            <w:r>
              <w:t xml:space="preserve">: higher </w:t>
            </w:r>
            <w:r w:rsidRPr="00673E62">
              <w:rPr>
                <w:b/>
                <w:color w:val="548DD4" w:themeColor="text2" w:themeTint="99"/>
              </w:rPr>
              <w:t>mortality</w:t>
            </w:r>
            <w:r>
              <w:t xml:space="preserve">; had to </w:t>
            </w:r>
            <w:r w:rsidRPr="00673E62">
              <w:rPr>
                <w:b/>
                <w:color w:val="548DD4" w:themeColor="text2" w:themeTint="99"/>
              </w:rPr>
              <w:t>work</w:t>
            </w:r>
            <w:r>
              <w:t xml:space="preserve"> to supplement income</w:t>
            </w:r>
          </w:p>
          <w:p w:rsidR="00E600B6" w:rsidRPr="00A33BE7" w:rsidRDefault="00E600B6" w:rsidP="00A33BE7">
            <w:pPr>
              <w:tabs>
                <w:tab w:val="left" w:pos="2025"/>
              </w:tabs>
              <w:rPr>
                <w:sz w:val="32"/>
                <w:szCs w:val="32"/>
              </w:rPr>
            </w:pPr>
          </w:p>
        </w:tc>
        <w:tc>
          <w:tcPr>
            <w:tcW w:w="10424" w:type="dxa"/>
            <w:gridSpan w:val="2"/>
          </w:tcPr>
          <w:p w:rsidR="00E600B6" w:rsidRPr="00811807" w:rsidRDefault="00E600B6" w:rsidP="00673E62">
            <w:pPr>
              <w:jc w:val="center"/>
              <w:rPr>
                <w:u w:val="single"/>
              </w:rPr>
            </w:pPr>
            <w:r w:rsidRPr="00811807">
              <w:rPr>
                <w:u w:val="single"/>
              </w:rPr>
              <w:t>Analytical vocabulary</w:t>
            </w:r>
          </w:p>
          <w:p w:rsidR="00E600B6" w:rsidRDefault="00E600B6" w:rsidP="00E600B6">
            <w:r w:rsidRPr="00673E62">
              <w:rPr>
                <w:b/>
                <w:color w:val="548DD4" w:themeColor="text2" w:themeTint="99"/>
              </w:rPr>
              <w:t>Connotation</w:t>
            </w:r>
            <w:r>
              <w:t xml:space="preserve">: </w:t>
            </w:r>
            <w:r w:rsidRPr="00673E62">
              <w:t>an idea or feeling which a word invokes for a person in addition to its literal or primary meaning.</w:t>
            </w:r>
          </w:p>
          <w:p w:rsidR="00E600B6" w:rsidRDefault="00E600B6" w:rsidP="00E600B6">
            <w:r w:rsidRPr="00673E62">
              <w:rPr>
                <w:b/>
                <w:color w:val="548DD4" w:themeColor="text2" w:themeTint="99"/>
              </w:rPr>
              <w:t>Denotation</w:t>
            </w:r>
            <w:r>
              <w:t xml:space="preserve">: </w:t>
            </w:r>
            <w:r w:rsidRPr="00673E62">
              <w:t>the literal or primary meaning of a word, in contrast to the feelings or ideas that the word suggests.</w:t>
            </w:r>
          </w:p>
          <w:p w:rsidR="00E600B6" w:rsidRDefault="00E600B6" w:rsidP="00E600B6">
            <w:r w:rsidRPr="00673E62">
              <w:rPr>
                <w:b/>
                <w:color w:val="548DD4" w:themeColor="text2" w:themeTint="99"/>
              </w:rPr>
              <w:t>Language</w:t>
            </w:r>
            <w:r>
              <w:t xml:space="preserve">: </w:t>
            </w:r>
            <w:r w:rsidRPr="00673E62">
              <w:t>The phraseology and vocabulary.</w:t>
            </w:r>
          </w:p>
          <w:p w:rsidR="00E600B6" w:rsidRDefault="00E600B6" w:rsidP="00E600B6">
            <w:r w:rsidRPr="00673E62">
              <w:rPr>
                <w:b/>
                <w:color w:val="548DD4" w:themeColor="text2" w:themeTint="99"/>
              </w:rPr>
              <w:t>Structure</w:t>
            </w:r>
            <w:r>
              <w:t xml:space="preserve">: </w:t>
            </w:r>
            <w:r w:rsidRPr="00673E62">
              <w:t>The arrangement of and relations between the parts or elements of something complex.</w:t>
            </w:r>
          </w:p>
          <w:p w:rsidR="00E600B6" w:rsidRPr="00811807" w:rsidRDefault="00E600B6" w:rsidP="00E600B6">
            <w:r w:rsidRPr="00673E62">
              <w:rPr>
                <w:b/>
                <w:color w:val="548DD4" w:themeColor="text2" w:themeTint="99"/>
              </w:rPr>
              <w:t>Rhyme</w:t>
            </w:r>
            <w:r>
              <w:t xml:space="preserve"> </w:t>
            </w:r>
            <w:r w:rsidRPr="00673E62">
              <w:rPr>
                <w:b/>
                <w:color w:val="548DD4" w:themeColor="text2" w:themeTint="99"/>
              </w:rPr>
              <w:t>Scheme</w:t>
            </w:r>
            <w:r>
              <w:t xml:space="preserve">: </w:t>
            </w:r>
            <w:r w:rsidRPr="00673E62">
              <w:t>The ordered pattern of rhymes at the ends of the lines of a poem or verse.</w:t>
            </w:r>
          </w:p>
          <w:p w:rsidR="00E600B6" w:rsidRDefault="00E600B6" w:rsidP="00E600B6">
            <w:r w:rsidRPr="00673E62">
              <w:rPr>
                <w:b/>
                <w:color w:val="548DD4" w:themeColor="text2" w:themeTint="99"/>
              </w:rPr>
              <w:t>Assonance</w:t>
            </w:r>
            <w:r>
              <w:t xml:space="preserve">: </w:t>
            </w:r>
            <w:r w:rsidRPr="00673E62">
              <w:t>Resemblance of sound between syllables of nearby words, arising particularly from the rhyming of two or more stressed vowels, but not consonants (e.g. sonnet, porridge), but also from the use of identical consonants with different vowels (e.g. killed, cold, culled)</w:t>
            </w:r>
          </w:p>
          <w:p w:rsidR="00E600B6" w:rsidRDefault="00E600B6" w:rsidP="00E600B6">
            <w:r w:rsidRPr="00673E62">
              <w:rPr>
                <w:b/>
                <w:color w:val="548DD4" w:themeColor="text2" w:themeTint="99"/>
              </w:rPr>
              <w:t>Sibilance</w:t>
            </w:r>
            <w:r>
              <w:t xml:space="preserve">: </w:t>
            </w:r>
            <w:r w:rsidRPr="00673E62">
              <w:t>Making or characterized by a hissing sound.</w:t>
            </w:r>
          </w:p>
          <w:p w:rsidR="00E600B6" w:rsidRPr="00E600B6" w:rsidRDefault="00E600B6" w:rsidP="00A33BE7">
            <w:r w:rsidRPr="00673E62">
              <w:rPr>
                <w:b/>
                <w:color w:val="548DD4" w:themeColor="text2" w:themeTint="99"/>
              </w:rPr>
              <w:t>Consonance</w:t>
            </w:r>
            <w:r>
              <w:t xml:space="preserve">: </w:t>
            </w:r>
            <w:r w:rsidRPr="00673E62">
              <w:t xml:space="preserve">The recurrence of similar-sounding consonants in close </w:t>
            </w:r>
            <w:r w:rsidR="00673E62" w:rsidRPr="00673E62">
              <w:t>proximity.</w:t>
            </w:r>
          </w:p>
        </w:tc>
      </w:tr>
    </w:tbl>
    <w:p w:rsidR="00E466C7" w:rsidRPr="00B6466F" w:rsidRDefault="00E466C7" w:rsidP="007F0134">
      <w:pPr>
        <w:spacing w:after="0" w:line="240" w:lineRule="auto"/>
        <w:rPr>
          <w:rFonts w:ascii="Segoe UI" w:eastAsia="Times New Roman" w:hAnsi="Segoe UI" w:cs="Segoe UI"/>
          <w:sz w:val="18"/>
          <w:szCs w:val="18"/>
          <w:lang w:eastAsia="en-GB"/>
        </w:rPr>
      </w:pPr>
    </w:p>
    <w:p w:rsidR="00E466C7" w:rsidRPr="00B6466F" w:rsidRDefault="00E466C7" w:rsidP="007F0134">
      <w:pPr>
        <w:spacing w:after="0" w:line="240" w:lineRule="auto"/>
        <w:rPr>
          <w:rFonts w:ascii="Segoe UI" w:eastAsia="Times New Roman" w:hAnsi="Segoe UI" w:cs="Segoe UI"/>
          <w:sz w:val="18"/>
          <w:szCs w:val="18"/>
          <w:lang w:eastAsia="en-GB"/>
        </w:rPr>
      </w:pPr>
    </w:p>
    <w:p w:rsidR="0050452D" w:rsidRDefault="0050452D" w:rsidP="007F0134">
      <w:pPr>
        <w:spacing w:after="0" w:line="240" w:lineRule="auto"/>
      </w:pPr>
    </w:p>
    <w:p w:rsidR="0050452D" w:rsidRDefault="0050452D" w:rsidP="007F0134">
      <w:pPr>
        <w:spacing w:after="0" w:line="240" w:lineRule="auto"/>
      </w:pPr>
    </w:p>
    <w:p w:rsidR="007F0134" w:rsidRDefault="007F0134" w:rsidP="007F0134">
      <w:pPr>
        <w:pStyle w:val="ListParagraph"/>
        <w:spacing w:after="0" w:line="240" w:lineRule="auto"/>
        <w:ind w:left="3240"/>
      </w:pPr>
    </w:p>
    <w:p w:rsidR="007F0134" w:rsidRDefault="007F0134" w:rsidP="007F0134">
      <w:pPr>
        <w:pStyle w:val="ListParagraph"/>
        <w:spacing w:after="0" w:line="240" w:lineRule="auto"/>
        <w:ind w:left="3240"/>
        <w:jc w:val="both"/>
      </w:pPr>
    </w:p>
    <w:p w:rsidR="007F0134" w:rsidRDefault="007F0134" w:rsidP="007F0134">
      <w:pPr>
        <w:pStyle w:val="ListParagraph"/>
        <w:spacing w:after="0" w:line="240" w:lineRule="auto"/>
        <w:ind w:left="3240"/>
      </w:pPr>
    </w:p>
    <w:p w:rsidR="007F0134" w:rsidRDefault="007F0134" w:rsidP="007F0134">
      <w:pPr>
        <w:spacing w:after="0" w:line="240" w:lineRule="auto"/>
        <w:ind w:left="2880"/>
      </w:pPr>
    </w:p>
    <w:p w:rsidR="007F0134" w:rsidRDefault="007F0134" w:rsidP="007F0134">
      <w:pPr>
        <w:spacing w:after="0" w:line="240" w:lineRule="auto"/>
      </w:pPr>
      <w:r>
        <w:t xml:space="preserve">        </w:t>
      </w:r>
    </w:p>
    <w:p w:rsidR="007F0134" w:rsidRDefault="007F0134" w:rsidP="007F0134">
      <w:pPr>
        <w:spacing w:after="0" w:line="240" w:lineRule="auto"/>
        <w:ind w:left="2880"/>
      </w:pPr>
    </w:p>
    <w:sectPr w:rsidR="007F0134" w:rsidSect="00A33BE7">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3B2A"/>
    <w:multiLevelType w:val="hybridMultilevel"/>
    <w:tmpl w:val="2E922494"/>
    <w:lvl w:ilvl="0" w:tplc="B5924C64">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D6B5439"/>
    <w:multiLevelType w:val="hybridMultilevel"/>
    <w:tmpl w:val="8C00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63734E"/>
    <w:multiLevelType w:val="hybridMultilevel"/>
    <w:tmpl w:val="97D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1F"/>
    <w:rsid w:val="00072B49"/>
    <w:rsid w:val="001B176F"/>
    <w:rsid w:val="002745E2"/>
    <w:rsid w:val="002D281F"/>
    <w:rsid w:val="003A3DD0"/>
    <w:rsid w:val="00410286"/>
    <w:rsid w:val="0050452D"/>
    <w:rsid w:val="00673E62"/>
    <w:rsid w:val="00731BE6"/>
    <w:rsid w:val="007573EA"/>
    <w:rsid w:val="007F0134"/>
    <w:rsid w:val="00811807"/>
    <w:rsid w:val="008209F9"/>
    <w:rsid w:val="00A10958"/>
    <w:rsid w:val="00A33BE7"/>
    <w:rsid w:val="00AA50CE"/>
    <w:rsid w:val="00B6466F"/>
    <w:rsid w:val="00C976EC"/>
    <w:rsid w:val="00E466C7"/>
    <w:rsid w:val="00E600B6"/>
    <w:rsid w:val="00E63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DF28"/>
  <w15:docId w15:val="{DC466A95-9EB7-4145-A207-CF1B4D1C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D0"/>
    <w:pPr>
      <w:ind w:left="720"/>
      <w:contextualSpacing/>
    </w:pPr>
  </w:style>
  <w:style w:type="table" w:styleId="TableGrid">
    <w:name w:val="Table Grid"/>
    <w:basedOn w:val="TableNormal"/>
    <w:uiPriority w:val="59"/>
    <w:rsid w:val="00A33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4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66F"/>
    <w:rPr>
      <w:rFonts w:ascii="Tahoma" w:hAnsi="Tahoma" w:cs="Tahoma"/>
      <w:sz w:val="16"/>
      <w:szCs w:val="16"/>
    </w:rPr>
  </w:style>
  <w:style w:type="paragraph" w:customStyle="1" w:styleId="paragraph">
    <w:name w:val="paragraph"/>
    <w:basedOn w:val="Normal"/>
    <w:rsid w:val="00B646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6466F"/>
  </w:style>
  <w:style w:type="character" w:customStyle="1" w:styleId="eop">
    <w:name w:val="eop"/>
    <w:basedOn w:val="DefaultParagraphFont"/>
    <w:rsid w:val="00B6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5040">
      <w:bodyDiv w:val="1"/>
      <w:marLeft w:val="0"/>
      <w:marRight w:val="0"/>
      <w:marTop w:val="0"/>
      <w:marBottom w:val="0"/>
      <w:divBdr>
        <w:top w:val="none" w:sz="0" w:space="0" w:color="auto"/>
        <w:left w:val="none" w:sz="0" w:space="0" w:color="auto"/>
        <w:bottom w:val="none" w:sz="0" w:space="0" w:color="auto"/>
        <w:right w:val="none" w:sz="0" w:space="0" w:color="auto"/>
      </w:divBdr>
      <w:divsChild>
        <w:div w:id="468011251">
          <w:marLeft w:val="0"/>
          <w:marRight w:val="0"/>
          <w:marTop w:val="0"/>
          <w:marBottom w:val="0"/>
          <w:divBdr>
            <w:top w:val="none" w:sz="0" w:space="0" w:color="auto"/>
            <w:left w:val="none" w:sz="0" w:space="0" w:color="auto"/>
            <w:bottom w:val="none" w:sz="0" w:space="0" w:color="auto"/>
            <w:right w:val="none" w:sz="0" w:space="0" w:color="auto"/>
          </w:divBdr>
        </w:div>
        <w:div w:id="616302031">
          <w:marLeft w:val="0"/>
          <w:marRight w:val="0"/>
          <w:marTop w:val="0"/>
          <w:marBottom w:val="0"/>
          <w:divBdr>
            <w:top w:val="none" w:sz="0" w:space="0" w:color="auto"/>
            <w:left w:val="none" w:sz="0" w:space="0" w:color="auto"/>
            <w:bottom w:val="none" w:sz="0" w:space="0" w:color="auto"/>
            <w:right w:val="none" w:sz="0" w:space="0" w:color="auto"/>
          </w:divBdr>
        </w:div>
        <w:div w:id="1669746299">
          <w:marLeft w:val="0"/>
          <w:marRight w:val="0"/>
          <w:marTop w:val="0"/>
          <w:marBottom w:val="0"/>
          <w:divBdr>
            <w:top w:val="none" w:sz="0" w:space="0" w:color="auto"/>
            <w:left w:val="none" w:sz="0" w:space="0" w:color="auto"/>
            <w:bottom w:val="none" w:sz="0" w:space="0" w:color="auto"/>
            <w:right w:val="none" w:sz="0" w:space="0" w:color="auto"/>
          </w:divBdr>
        </w:div>
        <w:div w:id="1909876642">
          <w:marLeft w:val="0"/>
          <w:marRight w:val="0"/>
          <w:marTop w:val="0"/>
          <w:marBottom w:val="0"/>
          <w:divBdr>
            <w:top w:val="none" w:sz="0" w:space="0" w:color="auto"/>
            <w:left w:val="none" w:sz="0" w:space="0" w:color="auto"/>
            <w:bottom w:val="none" w:sz="0" w:space="0" w:color="auto"/>
            <w:right w:val="none" w:sz="0" w:space="0" w:color="auto"/>
          </w:divBdr>
        </w:div>
        <w:div w:id="1636520721">
          <w:marLeft w:val="0"/>
          <w:marRight w:val="0"/>
          <w:marTop w:val="0"/>
          <w:marBottom w:val="0"/>
          <w:divBdr>
            <w:top w:val="none" w:sz="0" w:space="0" w:color="auto"/>
            <w:left w:val="none" w:sz="0" w:space="0" w:color="auto"/>
            <w:bottom w:val="none" w:sz="0" w:space="0" w:color="auto"/>
            <w:right w:val="none" w:sz="0" w:space="0" w:color="auto"/>
          </w:divBdr>
        </w:div>
      </w:divsChild>
    </w:div>
    <w:div w:id="2010213031">
      <w:bodyDiv w:val="1"/>
      <w:marLeft w:val="0"/>
      <w:marRight w:val="0"/>
      <w:marTop w:val="0"/>
      <w:marBottom w:val="0"/>
      <w:divBdr>
        <w:top w:val="none" w:sz="0" w:space="0" w:color="auto"/>
        <w:left w:val="none" w:sz="0" w:space="0" w:color="auto"/>
        <w:bottom w:val="none" w:sz="0" w:space="0" w:color="auto"/>
        <w:right w:val="none" w:sz="0" w:space="0" w:color="auto"/>
      </w:divBdr>
      <w:divsChild>
        <w:div w:id="1200582642">
          <w:marLeft w:val="0"/>
          <w:marRight w:val="0"/>
          <w:marTop w:val="0"/>
          <w:marBottom w:val="0"/>
          <w:divBdr>
            <w:top w:val="none" w:sz="0" w:space="0" w:color="auto"/>
            <w:left w:val="none" w:sz="0" w:space="0" w:color="auto"/>
            <w:bottom w:val="none" w:sz="0" w:space="0" w:color="auto"/>
            <w:right w:val="none" w:sz="0" w:space="0" w:color="auto"/>
          </w:divBdr>
        </w:div>
        <w:div w:id="1291402326">
          <w:marLeft w:val="0"/>
          <w:marRight w:val="0"/>
          <w:marTop w:val="0"/>
          <w:marBottom w:val="0"/>
          <w:divBdr>
            <w:top w:val="none" w:sz="0" w:space="0" w:color="auto"/>
            <w:left w:val="none" w:sz="0" w:space="0" w:color="auto"/>
            <w:bottom w:val="none" w:sz="0" w:space="0" w:color="auto"/>
            <w:right w:val="none" w:sz="0" w:space="0" w:color="auto"/>
          </w:divBdr>
        </w:div>
        <w:div w:id="1297560896">
          <w:marLeft w:val="0"/>
          <w:marRight w:val="0"/>
          <w:marTop w:val="0"/>
          <w:marBottom w:val="0"/>
          <w:divBdr>
            <w:top w:val="none" w:sz="0" w:space="0" w:color="auto"/>
            <w:left w:val="none" w:sz="0" w:space="0" w:color="auto"/>
            <w:bottom w:val="none" w:sz="0" w:space="0" w:color="auto"/>
            <w:right w:val="none" w:sz="0" w:space="0" w:color="auto"/>
          </w:divBdr>
        </w:div>
        <w:div w:id="44373290">
          <w:marLeft w:val="0"/>
          <w:marRight w:val="0"/>
          <w:marTop w:val="0"/>
          <w:marBottom w:val="0"/>
          <w:divBdr>
            <w:top w:val="none" w:sz="0" w:space="0" w:color="auto"/>
            <w:left w:val="none" w:sz="0" w:space="0" w:color="auto"/>
            <w:bottom w:val="none" w:sz="0" w:space="0" w:color="auto"/>
            <w:right w:val="none" w:sz="0" w:space="0" w:color="auto"/>
          </w:divBdr>
        </w:div>
        <w:div w:id="1948657317">
          <w:marLeft w:val="0"/>
          <w:marRight w:val="0"/>
          <w:marTop w:val="0"/>
          <w:marBottom w:val="0"/>
          <w:divBdr>
            <w:top w:val="none" w:sz="0" w:space="0" w:color="auto"/>
            <w:left w:val="none" w:sz="0" w:space="0" w:color="auto"/>
            <w:bottom w:val="none" w:sz="0" w:space="0" w:color="auto"/>
            <w:right w:val="none" w:sz="0" w:space="0" w:color="auto"/>
          </w:divBdr>
        </w:div>
        <w:div w:id="53216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E0F9472A.dotm</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Anderson | Witchford Village College</dc:creator>
  <cp:lastModifiedBy>Lindsay Waggitt</cp:lastModifiedBy>
  <cp:revision>3</cp:revision>
  <dcterms:created xsi:type="dcterms:W3CDTF">2019-07-03T19:56:00Z</dcterms:created>
  <dcterms:modified xsi:type="dcterms:W3CDTF">2019-07-17T14:39:00Z</dcterms:modified>
</cp:coreProperties>
</file>