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Data</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 xml:space="preserve">Witchford Village College </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671</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25%</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2021-22</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September 2021</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August 2022</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Rolf Purvis-Executive Head</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Bessie Owen- Head of School</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Ray Harding</w:t>
            </w:r>
          </w:p>
        </w:tc>
      </w:tr>
    </w:tbl>
    <w:bookmarkEnd w:id="2"/>
    <w:bookmarkEnd w:id="3"/>
    <w:bookmarkEnd w:id="4"/>
    <w:p>
      <w:pPr>
        <w:spacing w:before="480" w:line="240" w:lineRule="auto"/>
        <w:rPr>
          <w:b/>
          <w:bCs/>
          <w:color w:val="auto"/>
          <w:sz w:val="32"/>
          <w:szCs w:val="32"/>
        </w:rPr>
      </w:pPr>
      <w:r>
        <w:rPr>
          <w:b/>
          <w:bCs/>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pPr>
              <w:pStyle w:val="TableRow"/>
              <w:rPr>
                <w:b/>
                <w:bCs/>
                <w:color w:val="auto"/>
              </w:rPr>
            </w:pPr>
            <w:r>
              <w:rPr>
                <w:b/>
                <w:bCs/>
                <w:color w:val="auto"/>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pPr>
              <w:pStyle w:val="TableRow"/>
              <w:rPr>
                <w:b/>
                <w:bCs/>
                <w:color w:val="auto"/>
              </w:rPr>
            </w:pPr>
            <w:r>
              <w:rPr>
                <w:b/>
                <w:bCs/>
                <w:color w:val="auto"/>
              </w:rPr>
              <w:t>Amount</w:t>
            </w:r>
          </w:p>
        </w:tc>
      </w:tr>
      <w:tr>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pPr>
              <w:pStyle w:val="TableRow"/>
              <w:rPr>
                <w:color w:val="auto"/>
              </w:rPr>
            </w:pPr>
            <w:r>
              <w:rPr>
                <w:color w:val="auto"/>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rPr>
                <w:rFonts w:eastAsia="Arial" w:cs="Arial"/>
                <w:color w:val="auto"/>
              </w:rPr>
            </w:pPr>
            <w:r>
              <w:rPr>
                <w:rFonts w:eastAsia="Arial" w:cs="Arial"/>
                <w:color w:val="auto"/>
              </w:rPr>
              <w:t>£</w:t>
            </w:r>
            <w:r>
              <w:rPr>
                <w:rFonts w:eastAsia="Arial" w:cs="Arial"/>
                <w:color w:val="auto"/>
                <w:sz w:val="22"/>
                <w:szCs w:val="22"/>
              </w:rPr>
              <w:t>140,071.25</w:t>
            </w:r>
          </w:p>
        </w:tc>
      </w:tr>
      <w:tr>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pPr>
              <w:pStyle w:val="TableRow"/>
              <w:rPr>
                <w:color w:val="auto"/>
              </w:rPr>
            </w:pPr>
            <w:r>
              <w:rPr>
                <w:color w:val="auto"/>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rPr>
                <w:rFonts w:eastAsia="Arial" w:cs="Arial"/>
                <w:color w:val="auto"/>
              </w:rPr>
            </w:pPr>
            <w:r>
              <w:rPr>
                <w:rFonts w:eastAsia="Arial" w:cs="Arial"/>
                <w:color w:val="auto"/>
              </w:rPr>
              <w:t>N/A this academic year.</w:t>
            </w:r>
          </w:p>
          <w:p>
            <w:pPr>
              <w:pStyle w:val="TableRow"/>
              <w:rPr>
                <w:rFonts w:eastAsia="Arial" w:cs="Arial"/>
                <w:color w:val="auto"/>
              </w:rPr>
            </w:pPr>
            <w:r>
              <w:rPr>
                <w:rFonts w:eastAsia="Arial" w:cs="Arial"/>
                <w:color w:val="auto"/>
              </w:rPr>
              <w:t>£145 per PP student 2022-23</w:t>
            </w:r>
          </w:p>
        </w:tc>
      </w:tr>
      <w:tr>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pPr>
              <w:pStyle w:val="TableRow"/>
              <w:rPr>
                <w:color w:val="auto"/>
              </w:rPr>
            </w:pPr>
            <w:r>
              <w:rPr>
                <w:color w:val="auto"/>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rPr>
                <w:rFonts w:eastAsia="Arial" w:cs="Arial"/>
                <w:color w:val="auto"/>
              </w:rPr>
            </w:pPr>
            <w:r>
              <w:rPr>
                <w:rFonts w:eastAsia="Arial" w:cs="Arial"/>
                <w:color w:val="auto"/>
              </w:rPr>
              <w:t>£0</w:t>
            </w:r>
          </w:p>
        </w:tc>
      </w:tr>
      <w:t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rPr>
                <w:b/>
                <w:bCs/>
                <w:color w:val="auto"/>
              </w:rPr>
            </w:pPr>
            <w:r>
              <w:rPr>
                <w:b/>
                <w:bCs/>
                <w:color w:val="auto"/>
              </w:rPr>
              <w:t>Total budget for this academic year</w:t>
            </w:r>
          </w:p>
          <w:p>
            <w:pPr>
              <w:pStyle w:val="TableRow"/>
              <w:rPr>
                <w:color w:val="auto"/>
              </w:rPr>
            </w:pPr>
            <w:r>
              <w:rPr>
                <w:color w:val="auto"/>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rPr>
                <w:rFonts w:eastAsia="Arial" w:cs="Arial"/>
                <w:color w:val="auto"/>
              </w:rPr>
            </w:pPr>
            <w:r>
              <w:rPr>
                <w:rFonts w:eastAsia="Arial" w:cs="Arial"/>
                <w:color w:val="auto"/>
              </w:rPr>
              <w:t>£</w:t>
            </w:r>
            <w:r>
              <w:rPr>
                <w:rFonts w:eastAsia="Arial" w:cs="Arial"/>
                <w:color w:val="auto"/>
                <w:sz w:val="22"/>
                <w:szCs w:val="22"/>
              </w:rPr>
              <w:t>140,071.25</w:t>
            </w:r>
          </w:p>
        </w:tc>
      </w:tr>
    </w:tbl>
    <w:p>
      <w:pPr>
        <w:pStyle w:val="Heading1"/>
      </w:pPr>
      <w:r>
        <w:lastRenderedPageBreak/>
        <w:t>Part A: Pupil premium strategy plan</w:t>
      </w:r>
    </w:p>
    <w:p>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spacing w:before="120"/>
              <w:rPr>
                <w:i/>
                <w:iCs/>
              </w:rPr>
            </w:pPr>
            <w:r>
              <w:t>The purpose of Pupil Premium funding is to ensure that schools offer additional support to students from disadvantaged backgrounds in realising their potential. The school spends this money to ensure that disadvantaged students benefit from better teaching, curriculum and pastoral support, and more opportunities for cultural capital. Our pupil premium strategy supports initiatives that benefit our wider cohort of PP students, such as dedicated teaching groups, as well as increasing opportunities for employment through bespoke links with our local business community.  Ultimately our aim is to eliminate inequities in academic outcomes, attendance and behaviour points, cultural capital and wider school experience-between pupil premium students and our whole school cohort.</w:t>
            </w:r>
          </w:p>
        </w:tc>
      </w:tr>
    </w:tbl>
    <w:p>
      <w:pPr>
        <w:pStyle w:val="Heading2"/>
        <w:spacing w:before="600"/>
      </w:pPr>
      <w:r>
        <w:t>Challenges</w:t>
      </w:r>
    </w:p>
    <w:p>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 xml:space="preserve">Detail of challenge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pPr>
            <w:r>
              <w:rPr>
                <w:iCs/>
                <w:sz w:val="22"/>
                <w:szCs w:val="22"/>
              </w:rPr>
              <w:t>PP students historically and nationally have lower progress scores than non-PP at GCSE.</w:t>
            </w:r>
            <w:r>
              <w:t xml:space="preserve">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szCs w:val="22"/>
              </w:rPr>
            </w:pPr>
            <w:r>
              <w:rPr>
                <w:iCs/>
                <w:sz w:val="22"/>
                <w:szCs w:val="22"/>
              </w:rPr>
              <w:t>PP students have lower Y7 starting points in literacy than non-PP students.</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szCs w:val="22"/>
              </w:rPr>
            </w:pPr>
            <w:r>
              <w:rPr>
                <w:sz w:val="22"/>
                <w:szCs w:val="22"/>
              </w:rPr>
              <w:t xml:space="preserve">In the 2020/2021 academic year the PP cohort attended school less frequently than our non-PP students.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iCs/>
                <w:sz w:val="22"/>
              </w:rPr>
            </w:pPr>
            <w:r>
              <w:rPr>
                <w:iCs/>
                <w:sz w:val="22"/>
              </w:rPr>
              <w:t xml:space="preserve">In 2020/21 academic year PP students received a disproportionately high number of the overall behaviour sanctions logged.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iCs/>
                <w:sz w:val="22"/>
              </w:rPr>
            </w:pPr>
            <w:r>
              <w:rPr>
                <w:iCs/>
                <w:sz w:val="22"/>
              </w:rPr>
              <w:t xml:space="preserve">PP students historically and nationally are less likely to move on to A-Level study and higher education.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iCs/>
                <w:sz w:val="22"/>
              </w:rPr>
            </w:pPr>
            <w:r>
              <w:rPr>
                <w:iCs/>
                <w:sz w:val="22"/>
              </w:rPr>
              <w:t xml:space="preserve">In the 2020/21 academic year, the proportion of Y11 PP students completing the </w:t>
            </w:r>
            <w:proofErr w:type="spellStart"/>
            <w:r>
              <w:rPr>
                <w:iCs/>
                <w:sz w:val="22"/>
              </w:rPr>
              <w:t>Ebacc</w:t>
            </w:r>
            <w:proofErr w:type="spellEnd"/>
            <w:r>
              <w:rPr>
                <w:iCs/>
                <w:sz w:val="22"/>
              </w:rPr>
              <w:t xml:space="preserve"> was lower than the proportion of non PP completing it.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iCs/>
                <w:sz w:val="22"/>
              </w:rPr>
            </w:pPr>
            <w:r>
              <w:rPr>
                <w:iCs/>
                <w:sz w:val="22"/>
              </w:rPr>
              <w:t xml:space="preserve">PP families are less likely to be able to afford classroom resources and uniform and food products-limiting PP students’ capability to engage effectively with day to day schooling.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iCs/>
                <w:sz w:val="22"/>
              </w:rPr>
            </w:pPr>
            <w:r>
              <w:rPr>
                <w:iCs/>
                <w:sz w:val="22"/>
              </w:rPr>
              <w:t xml:space="preserve">PP families are less likely to be able to support costs associated with extra-curricular and or off-site activities-limiting PP students’ access to cultural capital.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iCs/>
                <w:sz w:val="22"/>
              </w:rPr>
            </w:pPr>
            <w:r>
              <w:rPr>
                <w:iCs/>
                <w:sz w:val="22"/>
              </w:rPr>
              <w:t xml:space="preserve">PP students are more likely to be further behind following Covid-19 school closures because of a lack of resources such as internet, devices, parental time and educational level. </w:t>
            </w:r>
          </w:p>
        </w:tc>
      </w:tr>
    </w:tbl>
    <w:p>
      <w:pPr>
        <w:pStyle w:val="Heading2"/>
        <w:spacing w:before="600"/>
      </w:pPr>
      <w:r>
        <w:lastRenderedPageBreak/>
        <w:t xml:space="preserve">Intended outcomes </w:t>
      </w:r>
    </w:p>
    <w:p>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Success criteria</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rPr>
                <w:sz w:val="22"/>
                <w:szCs w:val="22"/>
              </w:rPr>
              <w:t>PP progress to be no less than whole school progress and above national average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szCs w:val="22"/>
              </w:rPr>
            </w:pPr>
            <w:r>
              <w:rPr>
                <w:sz w:val="22"/>
                <w:szCs w:val="22"/>
              </w:rPr>
              <w:t>+0.25 PP P8 score. Sep 2022</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 xml:space="preserve">PP students to continue to improve their performance in core subject areas.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szCs w:val="22"/>
              </w:rPr>
            </w:pPr>
            <w:r>
              <w:rPr>
                <w:sz w:val="22"/>
                <w:szCs w:val="22"/>
              </w:rPr>
              <w:t>PP English + Maths 5+ 65% Sep 2022</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 xml:space="preserve">PP students to study the same rigorous and broad curriculum as others.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szCs w:val="22"/>
              </w:rPr>
            </w:pPr>
            <w:r>
              <w:rPr>
                <w:sz w:val="22"/>
                <w:szCs w:val="22"/>
              </w:rPr>
              <w:t xml:space="preserve">50% + current Y9 enrolled in EBACC by Sep 2022 </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 xml:space="preserve">PP students to reach our whole school benchmark for attendance.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szCs w:val="22"/>
              </w:rPr>
            </w:pPr>
            <w:r>
              <w:rPr>
                <w:sz w:val="22"/>
                <w:szCs w:val="22"/>
              </w:rPr>
              <w:t>Attendance of PP cohort 96% + Sep 2022</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 xml:space="preserve">PP students not to suffer the burden of disproportionate sanctions.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NormalWeb"/>
              <w:spacing w:before="62" w:beforeAutospacing="0" w:after="62"/>
              <w:ind w:left="57" w:right="57"/>
              <w:rPr>
                <w:rFonts w:ascii="Arial" w:hAnsi="Arial"/>
                <w:color w:val="0D0D0D"/>
                <w:sz w:val="22"/>
                <w:szCs w:val="22"/>
              </w:rPr>
            </w:pPr>
            <w:r>
              <w:rPr>
                <w:rFonts w:ascii="Arial" w:hAnsi="Arial"/>
                <w:color w:val="0D0D0D"/>
                <w:sz w:val="22"/>
                <w:szCs w:val="22"/>
              </w:rPr>
              <w:t xml:space="preserve">No permanent exclusions. </w:t>
            </w:r>
          </w:p>
          <w:p>
            <w:pPr>
              <w:pStyle w:val="TableRowCentered"/>
              <w:jc w:val="left"/>
              <w:rPr>
                <w:sz w:val="22"/>
                <w:szCs w:val="22"/>
              </w:rPr>
            </w:pPr>
            <w:r>
              <w:rPr>
                <w:sz w:val="22"/>
                <w:szCs w:val="22"/>
              </w:rPr>
              <w:t xml:space="preserve">Fewer than 3% of PP to receive 1+ fixed term exclusion. </w:t>
            </w:r>
          </w:p>
          <w:p>
            <w:pPr>
              <w:pStyle w:val="TableRowCentered"/>
              <w:jc w:val="left"/>
              <w:rPr>
                <w:sz w:val="22"/>
                <w:szCs w:val="22"/>
              </w:rPr>
            </w:pPr>
            <w:r>
              <w:rPr>
                <w:sz w:val="22"/>
                <w:szCs w:val="22"/>
              </w:rPr>
              <w:t>Sep 2022</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 xml:space="preserve">PP students to leave school with the same high ambitions and access to post 16 support/information as our whole school cohort.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NormalWeb"/>
              <w:spacing w:before="62" w:beforeAutospacing="0" w:after="62"/>
              <w:ind w:left="57" w:right="57"/>
              <w:rPr>
                <w:rFonts w:ascii="Arial" w:hAnsi="Arial"/>
                <w:color w:val="0D0D0D"/>
                <w:sz w:val="22"/>
                <w:szCs w:val="22"/>
              </w:rPr>
            </w:pPr>
            <w:r>
              <w:rPr>
                <w:rFonts w:ascii="Arial" w:hAnsi="Arial"/>
                <w:color w:val="0D0D0D"/>
                <w:sz w:val="22"/>
                <w:szCs w:val="22"/>
              </w:rPr>
              <w:t>Careers and HE opportunities for 100% KS3/4</w:t>
            </w:r>
          </w:p>
          <w:p>
            <w:pPr>
              <w:pStyle w:val="NormalWeb"/>
              <w:spacing w:before="62" w:beforeAutospacing="0" w:after="62"/>
              <w:ind w:left="57" w:right="57"/>
              <w:rPr>
                <w:rFonts w:ascii="Arial" w:hAnsi="Arial"/>
                <w:color w:val="0D0D0D"/>
                <w:sz w:val="22"/>
                <w:szCs w:val="22"/>
              </w:rPr>
            </w:pPr>
            <w:r>
              <w:rPr>
                <w:rFonts w:ascii="Arial" w:hAnsi="Arial"/>
                <w:color w:val="0D0D0D"/>
                <w:sz w:val="22"/>
                <w:szCs w:val="22"/>
              </w:rPr>
              <w:t>Sep 2022</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PP to receive opportunities to learn off site and develop cultural capital alongside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 w:val="22"/>
                <w:szCs w:val="22"/>
              </w:rPr>
              <w:t xml:space="preserve">100% KS3 external visit, D of E, extracurricular enrolment. </w:t>
            </w:r>
          </w:p>
          <w:p>
            <w:pPr>
              <w:pStyle w:val="NormalWeb"/>
              <w:spacing w:before="62" w:beforeAutospacing="0" w:after="62"/>
              <w:ind w:left="57" w:right="57"/>
              <w:rPr>
                <w:rFonts w:ascii="Arial" w:hAnsi="Arial"/>
                <w:color w:val="0D0D0D"/>
                <w:sz w:val="22"/>
                <w:szCs w:val="22"/>
              </w:rPr>
            </w:pPr>
            <w:r>
              <w:rPr>
                <w:rFonts w:ascii="Arial" w:hAnsi="Arial"/>
                <w:color w:val="0D0D0D"/>
                <w:sz w:val="22"/>
                <w:szCs w:val="22"/>
              </w:rPr>
              <w:t>Sep 2022</w:t>
            </w:r>
          </w:p>
        </w:tc>
      </w:tr>
    </w:tbl>
    <w:p>
      <w:pPr>
        <w:pStyle w:val="Heading2"/>
      </w:pPr>
    </w:p>
    <w:p>
      <w:pPr>
        <w:suppressAutoHyphens w:val="0"/>
        <w:spacing w:after="0" w:line="240" w:lineRule="auto"/>
        <w:rPr>
          <w:b/>
          <w:color w:val="104F75"/>
          <w:sz w:val="32"/>
          <w:szCs w:val="32"/>
        </w:rPr>
      </w:pPr>
      <w:r>
        <w:br w:type="page"/>
      </w:r>
    </w:p>
    <w:p>
      <w:pPr>
        <w:pStyle w:val="Heading2"/>
      </w:pPr>
      <w:r>
        <w:lastRenderedPageBreak/>
        <w:t>Activity in this academic year</w:t>
      </w:r>
    </w:p>
    <w:p>
      <w:pPr>
        <w:spacing w:after="480"/>
      </w:pPr>
      <w:r>
        <w:t xml:space="preserve">This details how we intend to spend our pupil premium (and recovery premium funding) </w:t>
      </w:r>
      <w:r>
        <w:rPr>
          <w:b/>
          <w:bCs/>
        </w:rPr>
        <w:t>this academic year</w:t>
      </w:r>
      <w:r>
        <w:t xml:space="preserve"> to address the challenges listed above.</w:t>
      </w:r>
    </w:p>
    <w:p>
      <w:pPr>
        <w:pStyle w:val="Heading3"/>
      </w:pPr>
      <w:r>
        <w:t>Teaching (for example, CPD, recruitment and retention)</w:t>
      </w:r>
    </w:p>
    <w:p>
      <w:r>
        <w:t>Budgeted cost: £ 100,000</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Challenge number(s) addressed</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ind w:left="0"/>
              <w:rPr>
                <w:sz w:val="22"/>
                <w:szCs w:val="22"/>
              </w:rPr>
            </w:pPr>
            <w:r>
              <w:rPr>
                <w:sz w:val="22"/>
                <w:szCs w:val="22"/>
              </w:rPr>
              <w:t xml:space="preserve">Quality first teaching and outstanding knowledge rich curriculum-dedicated curriculum model to support PP/SEN LPA students. PP students to make +0.25 P8 score Sep 2022.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6"/>
              </w:numPr>
              <w:spacing w:after="238" w:line="288" w:lineRule="auto"/>
              <w:rPr>
                <w:rFonts w:ascii="Arial" w:hAnsi="Arial"/>
                <w:color w:val="0D0D0D"/>
                <w:sz w:val="22"/>
                <w:szCs w:val="22"/>
              </w:rPr>
            </w:pPr>
            <w:r>
              <w:rPr>
                <w:rFonts w:ascii="Arial" w:hAnsi="Arial"/>
                <w:color w:val="000000" w:themeColor="text1"/>
                <w:sz w:val="22"/>
                <w:szCs w:val="22"/>
              </w:rPr>
              <w:t>The Educational Endowment Fund toolkit, evaluating value for money to school intervention spends, visible at:</w:t>
            </w:r>
          </w:p>
          <w:p>
            <w:pPr>
              <w:pStyle w:val="NormalWeb"/>
              <w:spacing w:after="238" w:line="288" w:lineRule="auto"/>
              <w:ind w:left="720" w:hanging="363"/>
              <w:rPr>
                <w:rFonts w:ascii="Arial" w:hAnsi="Arial"/>
                <w:color w:val="0D0D0D"/>
                <w:sz w:val="22"/>
                <w:szCs w:val="22"/>
              </w:rPr>
            </w:pPr>
            <w:hyperlink r:id="rId10" w:tgtFrame="_top" w:history="1">
              <w:r>
                <w:rPr>
                  <w:color w:val="0D0D0D"/>
                  <w:sz w:val="22"/>
                  <w:szCs w:val="22"/>
                </w:rPr>
                <w:t>https://educationendowmentfoundation.org.uk/evidence-summaries/teaching-learning-toolkit/</w:t>
              </w:r>
            </w:hyperlink>
          </w:p>
          <w:p>
            <w:pPr>
              <w:pStyle w:val="TableRowCentered"/>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jc w:val="left"/>
              <w:rPr>
                <w:sz w:val="22"/>
              </w:rPr>
            </w:pPr>
            <w:r>
              <w:rPr>
                <w:sz w:val="22"/>
              </w:rPr>
              <w:t>1, 2, 7, 9</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ind w:left="0"/>
              <w:rPr>
                <w:sz w:val="22"/>
                <w:szCs w:val="22"/>
              </w:rPr>
            </w:pPr>
            <w:r>
              <w:rPr>
                <w:sz w:val="22"/>
                <w:szCs w:val="22"/>
              </w:rPr>
              <w:t xml:space="preserve">All staff to know PP and their needs and support them effectively in lessons.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6"/>
              </w:numPr>
              <w:spacing w:after="238" w:line="288" w:lineRule="auto"/>
              <w:rPr>
                <w:rFonts w:ascii="Arial" w:hAnsi="Arial"/>
                <w:color w:val="0D0D0D"/>
                <w:sz w:val="22"/>
                <w:szCs w:val="22"/>
              </w:rPr>
            </w:pPr>
            <w:r>
              <w:rPr>
                <w:rFonts w:ascii="Arial" w:hAnsi="Arial"/>
                <w:color w:val="000000" w:themeColor="text1"/>
                <w:sz w:val="22"/>
                <w:szCs w:val="22"/>
              </w:rPr>
              <w:t>The Educational Endowment Fund toolkit, evaluating value for money to school intervention spends, visible at:</w:t>
            </w:r>
          </w:p>
          <w:p>
            <w:pPr>
              <w:pStyle w:val="NormalWeb"/>
              <w:spacing w:after="238" w:line="288" w:lineRule="auto"/>
              <w:ind w:left="720" w:hanging="363"/>
              <w:rPr>
                <w:rFonts w:ascii="Arial" w:hAnsi="Arial"/>
                <w:color w:val="0D0D0D"/>
                <w:sz w:val="22"/>
                <w:szCs w:val="22"/>
              </w:rPr>
            </w:pPr>
            <w:hyperlink r:id="rId11" w:tgtFrame="_top" w:history="1">
              <w:r>
                <w:rPr>
                  <w:color w:val="0D0D0D"/>
                  <w:sz w:val="22"/>
                  <w:szCs w:val="22"/>
                </w:rPr>
                <w:t>https://educationendowmentfoundation.org.uk/evidence-summaries/teaching-learning-toolkit/</w:t>
              </w:r>
            </w:hyperlink>
          </w:p>
          <w:p>
            <w:pPr>
              <w:pStyle w:val="TableRowCentered"/>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jc w:val="left"/>
              <w:rPr>
                <w:sz w:val="22"/>
              </w:rPr>
            </w:pPr>
            <w:r>
              <w:rPr>
                <w:sz w:val="22"/>
              </w:rPr>
              <w:t>1, 2, 3, 4</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ind w:left="0"/>
              <w:rPr>
                <w:sz w:val="22"/>
                <w:szCs w:val="22"/>
              </w:rPr>
            </w:pPr>
            <w:r>
              <w:rPr>
                <w:sz w:val="22"/>
                <w:szCs w:val="22"/>
              </w:rPr>
              <w:t xml:space="preserve">Additional literacy intervention in Y7 + 8 targeting the lowest 20% based on CAT testing. </w:t>
            </w:r>
          </w:p>
          <w:p>
            <w:pPr>
              <w:pStyle w:val="TableRow"/>
              <w:ind w:left="0"/>
              <w:rPr>
                <w:sz w:val="22"/>
                <w:szCs w:val="22"/>
              </w:rPr>
            </w:pPr>
            <w:r>
              <w:rPr>
                <w:sz w:val="22"/>
                <w:szCs w:val="22"/>
              </w:rPr>
              <w:t xml:space="preserve">PP students to have closed reading gap by EOY9.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6"/>
              </w:numPr>
              <w:spacing w:after="238" w:line="288" w:lineRule="auto"/>
              <w:rPr>
                <w:rFonts w:ascii="Arial" w:hAnsi="Arial"/>
                <w:color w:val="0D0D0D"/>
                <w:sz w:val="22"/>
                <w:szCs w:val="22"/>
              </w:rPr>
            </w:pPr>
            <w:r>
              <w:rPr>
                <w:rFonts w:ascii="Arial" w:hAnsi="Arial"/>
                <w:color w:val="000000" w:themeColor="text1"/>
                <w:sz w:val="22"/>
                <w:szCs w:val="22"/>
              </w:rPr>
              <w:t>The Educational Endowment Fund toolkit, evaluating value for money to school intervention spends, visible at:</w:t>
            </w:r>
          </w:p>
          <w:p>
            <w:pPr>
              <w:pStyle w:val="NormalWeb"/>
              <w:spacing w:after="238" w:line="288" w:lineRule="auto"/>
              <w:ind w:left="720" w:hanging="363"/>
              <w:rPr>
                <w:rFonts w:ascii="Arial" w:hAnsi="Arial"/>
                <w:color w:val="0D0D0D"/>
                <w:sz w:val="22"/>
                <w:szCs w:val="22"/>
              </w:rPr>
            </w:pPr>
            <w:hyperlink r:id="rId12" w:tgtFrame="_top" w:history="1">
              <w:r>
                <w:rPr>
                  <w:color w:val="0D0D0D"/>
                  <w:sz w:val="22"/>
                  <w:szCs w:val="22"/>
                </w:rPr>
                <w:t>https://educationendowmentfoundation.org.uk/evidence-summaries/teaching-learning-toolkit/</w:t>
              </w:r>
            </w:hyperlink>
          </w:p>
          <w:p>
            <w:pPr>
              <w:pStyle w:val="TableRowCentered"/>
              <w:ind w:left="0"/>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ind w:left="0"/>
              <w:jc w:val="left"/>
              <w:rPr>
                <w:sz w:val="22"/>
              </w:rPr>
            </w:pPr>
            <w:r>
              <w:rPr>
                <w:sz w:val="22"/>
              </w:rPr>
              <w:t>1, 2</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ind w:left="0"/>
              <w:rPr>
                <w:sz w:val="22"/>
                <w:szCs w:val="22"/>
              </w:rPr>
            </w:pPr>
            <w:r>
              <w:rPr>
                <w:sz w:val="22"/>
                <w:szCs w:val="22"/>
              </w:rPr>
              <w:t xml:space="preserve">Resources to support PP students in class and during future school closure-I-Pads, Teams, scientific calculators.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4"/>
              </w:numPr>
              <w:spacing w:after="238" w:line="288" w:lineRule="auto"/>
              <w:rPr>
                <w:rFonts w:ascii="Arial" w:hAnsi="Arial"/>
                <w:color w:val="0D0D0D"/>
                <w:sz w:val="22"/>
                <w:szCs w:val="22"/>
              </w:rPr>
            </w:pPr>
            <w:r>
              <w:rPr>
                <w:rFonts w:ascii="Arial" w:hAnsi="Arial"/>
                <w:color w:val="000000" w:themeColor="text1"/>
                <w:sz w:val="22"/>
                <w:szCs w:val="22"/>
              </w:rPr>
              <w:t>DFE Report Supporting the attainment of disadvantaged pupils: articulating success and good practice visible at:</w:t>
            </w:r>
          </w:p>
          <w:p>
            <w:pPr>
              <w:pStyle w:val="NormalWeb"/>
              <w:spacing w:after="238" w:line="288" w:lineRule="auto"/>
              <w:ind w:left="720" w:hanging="363"/>
              <w:rPr>
                <w:rFonts w:ascii="Arial" w:hAnsi="Arial"/>
                <w:color w:val="0D0D0D"/>
                <w:sz w:val="22"/>
                <w:szCs w:val="22"/>
              </w:rPr>
            </w:pPr>
            <w:r>
              <w:rPr>
                <w:rFonts w:ascii="Arial" w:hAnsi="Arial"/>
                <w:color w:val="0D0D0D"/>
                <w:sz w:val="22"/>
                <w:szCs w:val="22"/>
              </w:rPr>
              <w:lastRenderedPageBreak/>
              <w:t>https://assets.publishing.service.gov.uk/government/uploads/system/uploads/attachment_data/file/473974/DFE-RR411_Supporting_the_attainment_of_disadvantaged_pupils.pdf</w:t>
            </w:r>
          </w:p>
          <w:p>
            <w:pPr>
              <w:pStyle w:val="TableRowCentered"/>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jc w:val="left"/>
              <w:rPr>
                <w:sz w:val="22"/>
              </w:rPr>
            </w:pPr>
            <w:r>
              <w:rPr>
                <w:sz w:val="22"/>
              </w:rPr>
              <w:lastRenderedPageBreak/>
              <w:t>8, 10</w:t>
            </w:r>
          </w:p>
        </w:tc>
      </w:tr>
    </w:tbl>
    <w:p>
      <w:pPr>
        <w:keepNext/>
        <w:spacing w:after="60"/>
        <w:outlineLvl w:val="1"/>
      </w:pPr>
    </w:p>
    <w:p>
      <w:pPr>
        <w:rPr>
          <w:b/>
          <w:bCs/>
          <w:color w:val="104F75"/>
          <w:sz w:val="28"/>
          <w:szCs w:val="28"/>
        </w:rPr>
      </w:pPr>
      <w:r>
        <w:rPr>
          <w:b/>
          <w:bCs/>
          <w:color w:val="104F75"/>
          <w:sz w:val="28"/>
          <w:szCs w:val="28"/>
        </w:rPr>
        <w:t xml:space="preserve">Targeted academic support (for example, tutoring, one-to-one support structured interventions) </w:t>
      </w:r>
    </w:p>
    <w:p>
      <w:r>
        <w:t>Budgeted cost: £ 25,071</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Challenge number(s) addressed</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rPr>
                <w:sz w:val="22"/>
                <w:szCs w:val="22"/>
              </w:rPr>
            </w:pPr>
            <w:r>
              <w:rPr>
                <w:sz w:val="22"/>
                <w:szCs w:val="22"/>
              </w:rPr>
              <w:t xml:space="preserve">Tuition for off target KS4 PP students via external tuition partner.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5"/>
              </w:numPr>
              <w:spacing w:after="238" w:line="288" w:lineRule="auto"/>
              <w:rPr>
                <w:rFonts w:ascii="Arial" w:hAnsi="Arial"/>
                <w:color w:val="0D0D0D"/>
                <w:sz w:val="22"/>
                <w:szCs w:val="22"/>
              </w:rPr>
            </w:pPr>
            <w:r>
              <w:rPr>
                <w:rFonts w:ascii="Arial" w:hAnsi="Arial"/>
                <w:color w:val="000000" w:themeColor="text1"/>
                <w:sz w:val="22"/>
                <w:szCs w:val="22"/>
              </w:rPr>
              <w:t>The Sutton Trust Report into Disadvantaged Family Barriers and the impact of LD-visible at:</w:t>
            </w:r>
          </w:p>
          <w:p>
            <w:pPr>
              <w:pStyle w:val="NormalWeb"/>
              <w:spacing w:after="238" w:line="288" w:lineRule="auto"/>
              <w:ind w:left="720" w:hanging="363"/>
              <w:rPr>
                <w:rFonts w:ascii="Arial" w:hAnsi="Arial"/>
                <w:color w:val="0D0D0D"/>
                <w:sz w:val="22"/>
                <w:szCs w:val="22"/>
              </w:rPr>
            </w:pPr>
            <w:hyperlink r:id="rId13" w:tgtFrame="_top" w:history="1">
              <w:r>
                <w:rPr>
                  <w:color w:val="0D0D0D"/>
                  <w:sz w:val="22"/>
                  <w:szCs w:val="22"/>
                </w:rPr>
                <w:t>https://www.suttontrust.com/our-research/remote-learning-the-digital-divide/</w:t>
              </w:r>
            </w:hyperlink>
          </w:p>
          <w:p>
            <w:pPr>
              <w:pStyle w:val="TableRowCentered"/>
              <w:ind w:left="0"/>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jc w:val="left"/>
              <w:rPr>
                <w:sz w:val="22"/>
              </w:rPr>
            </w:pPr>
            <w:r>
              <w:rPr>
                <w:sz w:val="22"/>
              </w:rPr>
              <w:t>1</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rPr>
                <w:sz w:val="22"/>
                <w:szCs w:val="22"/>
              </w:rPr>
            </w:pPr>
            <w:r>
              <w:rPr>
                <w:sz w:val="22"/>
                <w:szCs w:val="22"/>
              </w:rPr>
              <w:t>Direct pastoral support for low attendance PP students</w:t>
            </w:r>
          </w:p>
          <w:p>
            <w:pPr>
              <w:pStyle w:val="TableRow"/>
              <w:rPr>
                <w:sz w:val="22"/>
                <w:szCs w:val="22"/>
              </w:rPr>
            </w:pPr>
            <w:r>
              <w:rPr>
                <w:sz w:val="22"/>
                <w:szCs w:val="22"/>
              </w:rPr>
              <w:t xml:space="preserve">Breakfast club </w:t>
            </w:r>
          </w:p>
          <w:p>
            <w:pPr>
              <w:pStyle w:val="TableRow"/>
              <w:rPr>
                <w:color w:val="0D0D0D" w:themeColor="text1" w:themeTint="F2"/>
              </w:rPr>
            </w:pPr>
            <w:r>
              <w:rPr>
                <w:color w:val="0D0D0D" w:themeColor="text1" w:themeTint="F2"/>
                <w:sz w:val="22"/>
                <w:szCs w:val="22"/>
              </w:rPr>
              <w:t>Lunch meetings</w:t>
            </w:r>
          </w:p>
          <w:p>
            <w:pPr>
              <w:pStyle w:val="TableRow"/>
              <w:rPr>
                <w:color w:val="0D0D0D" w:themeColor="text1" w:themeTint="F2"/>
              </w:rPr>
            </w:pPr>
            <w:r>
              <w:rPr>
                <w:color w:val="0D0D0D" w:themeColor="text1" w:themeTint="F2"/>
                <w:sz w:val="22"/>
                <w:szCs w:val="22"/>
              </w:rPr>
              <w:t>Pupil Premium Champion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4"/>
              </w:numPr>
              <w:spacing w:after="238" w:line="288" w:lineRule="auto"/>
              <w:rPr>
                <w:rFonts w:ascii="Arial" w:hAnsi="Arial"/>
                <w:color w:val="0D0D0D"/>
                <w:sz w:val="22"/>
                <w:szCs w:val="22"/>
              </w:rPr>
            </w:pPr>
            <w:r>
              <w:rPr>
                <w:rFonts w:ascii="Arial" w:hAnsi="Arial"/>
                <w:color w:val="000000" w:themeColor="text1"/>
                <w:sz w:val="22"/>
                <w:szCs w:val="22"/>
              </w:rPr>
              <w:t>DFE Report Supporting the attainment of disadvantaged pupils: articulating success and good practice visible at:</w:t>
            </w:r>
          </w:p>
          <w:p>
            <w:pPr>
              <w:pStyle w:val="NormalWeb"/>
              <w:spacing w:after="238" w:line="288" w:lineRule="auto"/>
              <w:ind w:left="720" w:hanging="363"/>
              <w:rPr>
                <w:rFonts w:ascii="Arial" w:hAnsi="Arial"/>
                <w:color w:val="0D0D0D"/>
                <w:sz w:val="22"/>
                <w:szCs w:val="22"/>
              </w:rPr>
            </w:pPr>
            <w:r>
              <w:rPr>
                <w:rFonts w:ascii="Arial" w:hAnsi="Arial"/>
                <w:color w:val="0D0D0D"/>
                <w:sz w:val="22"/>
                <w:szCs w:val="22"/>
              </w:rPr>
              <w:t>https://assets.publishing.service.gov.uk/government/uploads/system/uploads/attachment_data/file/473974/DFE-RR411_Supporting_the_attainment_of_disadvantaged_pupils.pdf</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jc w:val="left"/>
              <w:rPr>
                <w:sz w:val="22"/>
              </w:rPr>
            </w:pPr>
            <w:r>
              <w:rPr>
                <w:sz w:val="22"/>
              </w:rPr>
              <w:t>3, 8</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rPr>
                <w:sz w:val="22"/>
                <w:szCs w:val="22"/>
              </w:rPr>
            </w:pPr>
            <w:r>
              <w:rPr>
                <w:sz w:val="22"/>
                <w:szCs w:val="22"/>
              </w:rPr>
              <w:t xml:space="preserve">Session four targeted intervention groups for specific PP students.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6"/>
              </w:numPr>
              <w:spacing w:after="238" w:line="288" w:lineRule="auto"/>
              <w:rPr>
                <w:rFonts w:ascii="Arial" w:hAnsi="Arial"/>
                <w:color w:val="0D0D0D"/>
                <w:sz w:val="22"/>
                <w:szCs w:val="22"/>
              </w:rPr>
            </w:pPr>
            <w:r>
              <w:rPr>
                <w:rFonts w:ascii="Arial" w:hAnsi="Arial"/>
                <w:color w:val="000000" w:themeColor="text1"/>
                <w:sz w:val="22"/>
                <w:szCs w:val="22"/>
              </w:rPr>
              <w:t>The Educational Endowment Fund toolkit, evaluating value for money to school intervention spends, visible at:</w:t>
            </w:r>
          </w:p>
          <w:p>
            <w:pPr>
              <w:pStyle w:val="NormalWeb"/>
              <w:spacing w:after="238" w:line="288" w:lineRule="auto"/>
              <w:ind w:left="720" w:hanging="363"/>
              <w:rPr>
                <w:rFonts w:ascii="Arial" w:hAnsi="Arial"/>
                <w:color w:val="0D0D0D"/>
                <w:sz w:val="22"/>
                <w:szCs w:val="22"/>
              </w:rPr>
            </w:pPr>
            <w:hyperlink r:id="rId14" w:tgtFrame="_top" w:history="1">
              <w:r>
                <w:rPr>
                  <w:color w:val="0D0D0D"/>
                  <w:sz w:val="22"/>
                  <w:szCs w:val="22"/>
                </w:rPr>
                <w:t>https://educationendowmentfoundation.org.uk/evidence-summaries/teaching-learning-toolkit/</w:t>
              </w:r>
            </w:hyperlink>
          </w:p>
          <w:p>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jc w:val="left"/>
              <w:rPr>
                <w:sz w:val="22"/>
              </w:rPr>
            </w:pPr>
            <w:r>
              <w:rPr>
                <w:sz w:val="22"/>
              </w:rPr>
              <w:lastRenderedPageBreak/>
              <w:t>1, 8, 10</w:t>
            </w:r>
          </w:p>
        </w:tc>
      </w:tr>
    </w:tbl>
    <w:p/>
    <w:p>
      <w:pPr>
        <w:spacing w:after="0"/>
        <w:rPr>
          <w:b/>
          <w:color w:val="104F75"/>
          <w:sz w:val="28"/>
          <w:szCs w:val="28"/>
        </w:rPr>
      </w:pPr>
    </w:p>
    <w:p>
      <w:pPr>
        <w:rPr>
          <w:b/>
          <w:color w:val="104F75"/>
          <w:sz w:val="28"/>
          <w:szCs w:val="28"/>
        </w:rPr>
      </w:pPr>
      <w:r>
        <w:rPr>
          <w:b/>
          <w:color w:val="104F75"/>
          <w:sz w:val="28"/>
          <w:szCs w:val="28"/>
        </w:rPr>
        <w:t>Wider strategies (for example, related to attendance, behaviour, wellbeing)</w:t>
      </w:r>
    </w:p>
    <w:p>
      <w:pPr>
        <w:spacing w:before="240" w:after="120"/>
      </w:pPr>
      <w:r>
        <w:t>Budgeted cost: £ 15,000</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pPr>
              <w:pStyle w:val="TableHeader"/>
              <w:jc w:val="left"/>
            </w:pPr>
            <w:r>
              <w:t>Challenge number(s) addressed</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ind w:left="0"/>
              <w:rPr>
                <w:sz w:val="22"/>
                <w:szCs w:val="22"/>
              </w:rPr>
            </w:pPr>
            <w:r>
              <w:rPr>
                <w:sz w:val="22"/>
                <w:szCs w:val="22"/>
              </w:rPr>
              <w:t>Develop cultural capital of PP students through trips and extracurricular involvement-e.g. Enrichment Week. 100% take up of external visit and extracurricular for PP students across KS3.</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4"/>
              </w:numPr>
              <w:spacing w:after="238" w:line="288" w:lineRule="auto"/>
              <w:rPr>
                <w:rFonts w:ascii="Arial" w:hAnsi="Arial"/>
                <w:color w:val="0D0D0D"/>
                <w:sz w:val="22"/>
                <w:szCs w:val="22"/>
              </w:rPr>
            </w:pPr>
            <w:r>
              <w:rPr>
                <w:rFonts w:ascii="Arial" w:hAnsi="Arial"/>
                <w:color w:val="000000" w:themeColor="text1"/>
                <w:sz w:val="22"/>
                <w:szCs w:val="22"/>
              </w:rPr>
              <w:t>DFE Report Supporting the attainment of disadvantaged pupils: articulating success and good practice visible at:</w:t>
            </w:r>
          </w:p>
          <w:p>
            <w:pPr>
              <w:pStyle w:val="NormalWeb"/>
              <w:spacing w:after="238" w:line="288" w:lineRule="auto"/>
              <w:ind w:left="720" w:hanging="363"/>
              <w:rPr>
                <w:rFonts w:ascii="Arial" w:hAnsi="Arial"/>
                <w:color w:val="0D0D0D"/>
                <w:sz w:val="22"/>
                <w:szCs w:val="22"/>
              </w:rPr>
            </w:pPr>
            <w:r>
              <w:rPr>
                <w:rFonts w:ascii="Arial" w:hAnsi="Arial"/>
                <w:color w:val="0D0D0D"/>
                <w:sz w:val="22"/>
                <w:szCs w:val="22"/>
              </w:rPr>
              <w:t>https://assets.publishing.service.gov.uk/government/uploads/system/uploads/attachment_data/file/473974/DFE-RR411_Supporting_the_attainment_of_disadvantaged_pupils.pdf</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ind w:left="0"/>
              <w:jc w:val="left"/>
              <w:rPr>
                <w:sz w:val="22"/>
              </w:rPr>
            </w:pPr>
            <w:r>
              <w:rPr>
                <w:sz w:val="22"/>
              </w:rPr>
              <w:t>7, 9, 10</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rPr>
                <w:sz w:val="22"/>
                <w:szCs w:val="22"/>
              </w:rPr>
            </w:pPr>
            <w:r>
              <w:rPr>
                <w:sz w:val="22"/>
                <w:szCs w:val="22"/>
              </w:rPr>
              <w:t>Prepare PP students for higher education and careers via dedicated careers programme and University links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4"/>
              </w:numPr>
              <w:spacing w:after="238" w:line="288" w:lineRule="auto"/>
              <w:rPr>
                <w:rFonts w:ascii="Arial" w:hAnsi="Arial"/>
                <w:color w:val="0D0D0D"/>
                <w:sz w:val="22"/>
                <w:szCs w:val="22"/>
              </w:rPr>
            </w:pPr>
            <w:r>
              <w:rPr>
                <w:rFonts w:ascii="Arial" w:hAnsi="Arial"/>
                <w:color w:val="000000" w:themeColor="text1"/>
                <w:sz w:val="22"/>
                <w:szCs w:val="22"/>
              </w:rPr>
              <w:t>DFE Report Supporting the attainment of disadvantaged pupils: articulating success and good practice visible at:</w:t>
            </w:r>
          </w:p>
          <w:p>
            <w:pPr>
              <w:pStyle w:val="NormalWeb"/>
              <w:spacing w:after="238" w:line="288" w:lineRule="auto"/>
              <w:ind w:left="720" w:hanging="363"/>
              <w:rPr>
                <w:rFonts w:ascii="Arial" w:hAnsi="Arial"/>
                <w:color w:val="0D0D0D"/>
                <w:sz w:val="22"/>
                <w:szCs w:val="22"/>
              </w:rPr>
            </w:pPr>
            <w:r>
              <w:rPr>
                <w:rFonts w:ascii="Arial" w:hAnsi="Arial"/>
                <w:color w:val="0D0D0D"/>
                <w:sz w:val="22"/>
                <w:szCs w:val="22"/>
              </w:rPr>
              <w:t>https://assets.publishing.service.gov.uk/government/uploads/system/uploads/attachment_data/file/473974/DFE-RR411_Supporting_the_attainment_of_disadvantaged_pupils.pdf</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ind w:left="0"/>
              <w:jc w:val="left"/>
              <w:rPr>
                <w:sz w:val="22"/>
              </w:rPr>
            </w:pPr>
            <w:r>
              <w:rPr>
                <w:sz w:val="22"/>
              </w:rPr>
              <w:t>5</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
              <w:rPr>
                <w:sz w:val="22"/>
                <w:szCs w:val="22"/>
              </w:rPr>
            </w:pPr>
            <w:r>
              <w:rPr>
                <w:sz w:val="22"/>
                <w:szCs w:val="22"/>
              </w:rPr>
              <w:t>Improve attendance figures among PP students to + 96%-through dedicated pastoral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4"/>
              </w:numPr>
              <w:spacing w:after="238" w:line="288" w:lineRule="auto"/>
              <w:rPr>
                <w:rFonts w:ascii="Arial" w:hAnsi="Arial"/>
                <w:color w:val="0D0D0D"/>
                <w:sz w:val="22"/>
                <w:szCs w:val="22"/>
              </w:rPr>
            </w:pPr>
            <w:r>
              <w:rPr>
                <w:rFonts w:ascii="Arial" w:hAnsi="Arial"/>
                <w:color w:val="000000" w:themeColor="text1"/>
                <w:sz w:val="22"/>
                <w:szCs w:val="22"/>
              </w:rPr>
              <w:t>DFE Report Supporting the attainment of disadvantaged pupils: articulating success and good practice visible at:</w:t>
            </w:r>
          </w:p>
          <w:p>
            <w:pPr>
              <w:pStyle w:val="NormalWeb"/>
              <w:spacing w:after="238" w:line="288" w:lineRule="auto"/>
              <w:ind w:left="720" w:hanging="363"/>
              <w:rPr>
                <w:rFonts w:ascii="Arial" w:hAnsi="Arial"/>
                <w:color w:val="0D0D0D"/>
                <w:sz w:val="22"/>
                <w:szCs w:val="22"/>
              </w:rPr>
            </w:pPr>
            <w:r>
              <w:rPr>
                <w:rFonts w:ascii="Arial" w:hAnsi="Arial"/>
                <w:color w:val="0D0D0D"/>
                <w:sz w:val="22"/>
                <w:szCs w:val="22"/>
              </w:rPr>
              <w:lastRenderedPageBreak/>
              <w:t>https://assets.publishing.service.gov.uk/government/uploads/system/uploads/attachment_data/file/473974/DFE-RR411_Supporting_the_attainment_of_disadvantaged_pupils.pdf</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ind w:left="0"/>
              <w:jc w:val="left"/>
              <w:rPr>
                <w:sz w:val="22"/>
              </w:rPr>
            </w:pPr>
            <w:r>
              <w:rPr>
                <w:sz w:val="22"/>
              </w:rPr>
              <w:lastRenderedPageBreak/>
              <w:t>3</w:t>
            </w:r>
          </w:p>
        </w:tc>
      </w:tr>
      <w:t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spacing w:before="62" w:beforeAutospacing="0" w:after="62"/>
              <w:ind w:left="57" w:right="57"/>
              <w:rPr>
                <w:rFonts w:ascii="Arial" w:hAnsi="Arial"/>
                <w:color w:val="0D0D0D"/>
                <w:sz w:val="22"/>
                <w:szCs w:val="22"/>
              </w:rPr>
            </w:pPr>
            <w:r>
              <w:rPr>
                <w:rFonts w:ascii="Arial" w:hAnsi="Arial"/>
                <w:color w:val="0D0D0D"/>
                <w:sz w:val="22"/>
                <w:szCs w:val="22"/>
              </w:rPr>
              <w:t xml:space="preserve">Eliminate disparities in fixed term exclusions between PP and whole school figures-through new leadership in behaviour and pastoral team. </w:t>
            </w:r>
          </w:p>
          <w:p>
            <w:pPr>
              <w:pStyle w:val="NormalWeb"/>
              <w:spacing w:before="62" w:beforeAutospacing="0" w:after="62"/>
              <w:ind w:left="57" w:right="57"/>
              <w:rPr>
                <w:rFonts w:ascii="Arial" w:hAnsi="Arial"/>
                <w:color w:val="0D0D0D"/>
                <w:sz w:val="22"/>
                <w:szCs w:val="22"/>
              </w:rPr>
            </w:pPr>
            <w:r>
              <w:rPr>
                <w:rFonts w:ascii="Arial" w:hAnsi="Arial"/>
                <w:color w:val="0D0D0D"/>
                <w:sz w:val="22"/>
                <w:szCs w:val="22"/>
              </w:rPr>
              <w:t xml:space="preserve">No permanent exclusions. </w:t>
            </w:r>
          </w:p>
          <w:p>
            <w:pPr>
              <w:pStyle w:val="TableRow"/>
              <w:rPr>
                <w:sz w:val="22"/>
                <w:szCs w:val="22"/>
              </w:rPr>
            </w:pPr>
            <w:r>
              <w:rPr>
                <w:sz w:val="22"/>
                <w:szCs w:val="22"/>
              </w:rPr>
              <w:t>Fewer than 3% of PP to receive 1+ fixed term exclusion.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NormalWeb"/>
              <w:numPr>
                <w:ilvl w:val="0"/>
                <w:numId w:val="14"/>
              </w:numPr>
              <w:spacing w:after="238" w:line="288" w:lineRule="auto"/>
              <w:rPr>
                <w:rFonts w:ascii="Arial" w:hAnsi="Arial"/>
                <w:color w:val="0D0D0D"/>
                <w:sz w:val="22"/>
                <w:szCs w:val="22"/>
              </w:rPr>
            </w:pPr>
            <w:r>
              <w:rPr>
                <w:rFonts w:ascii="Arial" w:hAnsi="Arial"/>
                <w:color w:val="000000" w:themeColor="text1"/>
                <w:sz w:val="22"/>
                <w:szCs w:val="22"/>
              </w:rPr>
              <w:t>DFE Report Supporting the attainment of disadvantaged pupils: articulating success and good practice visible at:</w:t>
            </w:r>
          </w:p>
          <w:p>
            <w:pPr>
              <w:pStyle w:val="NormalWeb"/>
              <w:spacing w:after="238" w:line="288" w:lineRule="auto"/>
              <w:ind w:left="720" w:hanging="363"/>
              <w:rPr>
                <w:rFonts w:ascii="Arial" w:hAnsi="Arial"/>
                <w:color w:val="0D0D0D"/>
                <w:sz w:val="22"/>
                <w:szCs w:val="22"/>
              </w:rPr>
            </w:pPr>
            <w:r>
              <w:rPr>
                <w:rFonts w:ascii="Arial" w:hAnsi="Arial"/>
                <w:color w:val="0D0D0D"/>
                <w:sz w:val="22"/>
                <w:szCs w:val="22"/>
              </w:rPr>
              <w:t>https://assets.publishing.service.gov.uk/government/uploads/system/uploads/attachment_data/file/473974/DFE-RR411_Supporting_the_attainment_of_disadvantaged_pupils.pdf</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pPr>
              <w:pStyle w:val="TableRowCentered"/>
              <w:ind w:left="0"/>
              <w:jc w:val="left"/>
              <w:rPr>
                <w:sz w:val="22"/>
              </w:rPr>
            </w:pPr>
            <w:r>
              <w:rPr>
                <w:sz w:val="22"/>
              </w:rPr>
              <w:t>3, 4</w:t>
            </w:r>
          </w:p>
        </w:tc>
      </w:tr>
    </w:tbl>
    <w:p/>
    <w:p>
      <w:pPr>
        <w:spacing w:before="240" w:after="0"/>
        <w:rPr>
          <w:b/>
          <w:bCs/>
          <w:color w:val="104F75"/>
          <w:sz w:val="28"/>
          <w:szCs w:val="28"/>
        </w:rPr>
      </w:pPr>
    </w:p>
    <w:p>
      <w:r>
        <w:rPr>
          <w:b/>
          <w:bCs/>
          <w:color w:val="104F75"/>
          <w:sz w:val="28"/>
          <w:szCs w:val="28"/>
        </w:rPr>
        <w:t>Total budgeted cost: £140,071.25</w:t>
      </w:r>
    </w:p>
    <w:p>
      <w:pPr>
        <w:pStyle w:val="Heading1"/>
      </w:pPr>
      <w:r>
        <w:lastRenderedPageBreak/>
        <w:t>Part B: Review of outcomes in the previous academic year</w:t>
      </w:r>
    </w:p>
    <w:p>
      <w:pPr>
        <w:pStyle w:val="Heading2"/>
      </w:pPr>
      <w:r>
        <w:t>Pupil premium strategy outcomes</w:t>
      </w:r>
    </w:p>
    <w:p>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trPr>
          <w:trHeight w:val="6818"/>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before="120"/>
            </w:pPr>
            <w:r>
              <w:t xml:space="preserve">PP Y10 mock data indicated </w:t>
            </w:r>
            <w:r>
              <w:rPr>
                <w:highlight w:val="yellow"/>
              </w:rPr>
              <w:t>+0.1</w:t>
            </w:r>
            <w:r>
              <w:t xml:space="preserve"> P8 score, compared to </w:t>
            </w:r>
            <w:r>
              <w:rPr>
                <w:highlight w:val="yellow"/>
              </w:rPr>
              <w:t>-0.24</w:t>
            </w:r>
            <w:r>
              <w:t xml:space="preserve"> P8 in 2019 outcomes. </w:t>
            </w:r>
          </w:p>
          <w:p>
            <w:pPr>
              <w:spacing w:before="120"/>
            </w:pPr>
            <w:r>
              <w:rPr>
                <w:highlight w:val="yellow"/>
              </w:rPr>
              <w:t>PP reading age continues to improve year on year:</w:t>
            </w:r>
          </w:p>
          <w:tbl>
            <w:tblPr>
              <w:tblpPr w:leftFromText="180" w:rightFromText="180" w:vertAnchor="text" w:horzAnchor="margin" w:tblpY="-155"/>
              <w:tblOverlap w:val="never"/>
              <w:tblW w:w="9030" w:type="dxa"/>
              <w:tblCellMar>
                <w:top w:w="15" w:type="dxa"/>
                <w:bottom w:w="15" w:type="dxa"/>
              </w:tblCellMar>
              <w:tblLook w:val="04A0" w:firstRow="1" w:lastRow="0" w:firstColumn="1" w:lastColumn="0" w:noHBand="0" w:noVBand="1"/>
            </w:tblPr>
            <w:tblGrid>
              <w:gridCol w:w="2036"/>
              <w:gridCol w:w="2165"/>
              <w:gridCol w:w="2165"/>
              <w:gridCol w:w="2664"/>
            </w:tblGrid>
            <w:tr>
              <w:trPr>
                <w:trHeight w:val="479"/>
              </w:trPr>
              <w:tc>
                <w:tcPr>
                  <w:tcW w:w="2036" w:type="dxa"/>
                  <w:tcBorders>
                    <w:top w:val="nil"/>
                    <w:left w:val="nil"/>
                    <w:bottom w:val="nil"/>
                    <w:right w:val="nil"/>
                  </w:tcBorders>
                  <w:noWrap/>
                  <w:vAlign w:val="center"/>
                  <w:hideMark/>
                </w:tcPr>
                <w:p>
                  <w:pPr>
                    <w:spacing w:after="0" w:line="240" w:lineRule="auto"/>
                    <w:jc w:val="center"/>
                    <w:rPr>
                      <w:rFonts w:ascii="Times New Roman" w:hAnsi="Times New Roman"/>
                    </w:rPr>
                  </w:pPr>
                </w:p>
              </w:tc>
              <w:tc>
                <w:tcPr>
                  <w:tcW w:w="2165" w:type="dxa"/>
                  <w:tcBorders>
                    <w:top w:val="single" w:sz="8" w:space="0" w:color="auto"/>
                    <w:left w:val="single" w:sz="8" w:space="0" w:color="auto"/>
                    <w:bottom w:val="single" w:sz="8" w:space="0" w:color="auto"/>
                    <w:right w:val="single" w:sz="8" w:space="0" w:color="auto"/>
                  </w:tcBorders>
                  <w:shd w:val="clear" w:color="000000" w:fill="FFFFFF"/>
                  <w:vAlign w:val="center"/>
                  <w:hideMark/>
                </w:tcPr>
                <w:p>
                  <w:pPr>
                    <w:spacing w:after="0" w:line="240" w:lineRule="auto"/>
                    <w:jc w:val="center"/>
                    <w:rPr>
                      <w:rFonts w:ascii="Calibri" w:hAnsi="Calibri" w:cs="Arial"/>
                      <w:b/>
                      <w:bCs/>
                      <w:color w:val="000000"/>
                    </w:rPr>
                  </w:pPr>
                  <w:r>
                    <w:rPr>
                      <w:rFonts w:ascii="Calibri" w:hAnsi="Calibri" w:cs="Arial"/>
                      <w:b/>
                      <w:bCs/>
                      <w:color w:val="000000"/>
                    </w:rPr>
                    <w:t>Av Reading Age</w:t>
                  </w:r>
                </w:p>
              </w:tc>
              <w:tc>
                <w:tcPr>
                  <w:tcW w:w="2165"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jc w:val="center"/>
                    <w:rPr>
                      <w:rFonts w:ascii="Calibri" w:hAnsi="Calibri" w:cs="Arial"/>
                      <w:b/>
                      <w:bCs/>
                      <w:color w:val="000000"/>
                    </w:rPr>
                  </w:pPr>
                  <w:r>
                    <w:rPr>
                      <w:rFonts w:ascii="Calibri" w:hAnsi="Calibri" w:cs="Arial"/>
                      <w:b/>
                      <w:bCs/>
                      <w:color w:val="000000"/>
                    </w:rPr>
                    <w:t>Av. Reading Age PP</w:t>
                  </w:r>
                </w:p>
              </w:tc>
              <w:tc>
                <w:tcPr>
                  <w:tcW w:w="2664"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jc w:val="center"/>
                    <w:rPr>
                      <w:rFonts w:ascii="Calibri" w:hAnsi="Calibri" w:cs="Arial"/>
                      <w:b/>
                      <w:bCs/>
                      <w:color w:val="000000"/>
                    </w:rPr>
                  </w:pPr>
                  <w:r>
                    <w:rPr>
                      <w:rFonts w:ascii="Calibri" w:hAnsi="Calibri" w:cs="Arial"/>
                      <w:b/>
                      <w:bCs/>
                      <w:color w:val="000000"/>
                    </w:rPr>
                    <w:t>Difference PP Vs All.</w:t>
                  </w:r>
                </w:p>
              </w:tc>
            </w:tr>
            <w:tr>
              <w:trPr>
                <w:trHeight w:val="164"/>
              </w:trPr>
              <w:tc>
                <w:tcPr>
                  <w:tcW w:w="2036"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b/>
                      <w:bCs/>
                      <w:color w:val="000000"/>
                    </w:rPr>
                  </w:pPr>
                  <w:r>
                    <w:rPr>
                      <w:rFonts w:ascii="Calibri" w:hAnsi="Calibri" w:cs="Arial"/>
                      <w:b/>
                      <w:bCs/>
                      <w:color w:val="000000"/>
                    </w:rPr>
                    <w:t>Y7</w:t>
                  </w:r>
                </w:p>
              </w:tc>
              <w:tc>
                <w:tcPr>
                  <w:tcW w:w="2165"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6.54</w:t>
                  </w:r>
                </w:p>
              </w:tc>
              <w:tc>
                <w:tcPr>
                  <w:tcW w:w="2165"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4.08</w:t>
                  </w:r>
                </w:p>
              </w:tc>
              <w:tc>
                <w:tcPr>
                  <w:tcW w:w="2664"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-2.47</w:t>
                  </w:r>
                </w:p>
              </w:tc>
            </w:tr>
            <w:tr>
              <w:trPr>
                <w:trHeight w:val="164"/>
              </w:trPr>
              <w:tc>
                <w:tcPr>
                  <w:tcW w:w="2036"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b/>
                      <w:bCs/>
                      <w:color w:val="000000"/>
                    </w:rPr>
                  </w:pPr>
                  <w:r>
                    <w:rPr>
                      <w:rFonts w:ascii="Calibri" w:hAnsi="Calibri" w:cs="Arial"/>
                      <w:b/>
                      <w:bCs/>
                      <w:color w:val="000000"/>
                    </w:rPr>
                    <w:t>Y8</w:t>
                  </w:r>
                </w:p>
              </w:tc>
              <w:tc>
                <w:tcPr>
                  <w:tcW w:w="2165"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8.68</w:t>
                  </w:r>
                </w:p>
              </w:tc>
              <w:tc>
                <w:tcPr>
                  <w:tcW w:w="2165"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7.92</w:t>
                  </w:r>
                </w:p>
              </w:tc>
              <w:tc>
                <w:tcPr>
                  <w:tcW w:w="2664"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-0.76</w:t>
                  </w:r>
                </w:p>
              </w:tc>
            </w:tr>
            <w:tr>
              <w:trPr>
                <w:trHeight w:val="164"/>
              </w:trPr>
              <w:tc>
                <w:tcPr>
                  <w:tcW w:w="2036"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b/>
                      <w:bCs/>
                      <w:color w:val="000000"/>
                    </w:rPr>
                  </w:pPr>
                  <w:r>
                    <w:rPr>
                      <w:rFonts w:ascii="Calibri" w:hAnsi="Calibri" w:cs="Arial"/>
                      <w:b/>
                      <w:bCs/>
                      <w:color w:val="000000"/>
                    </w:rPr>
                    <w:t>Y9</w:t>
                  </w:r>
                </w:p>
              </w:tc>
              <w:tc>
                <w:tcPr>
                  <w:tcW w:w="2165"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10.51</w:t>
                  </w:r>
                </w:p>
              </w:tc>
              <w:tc>
                <w:tcPr>
                  <w:tcW w:w="2165"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10.19</w:t>
                  </w:r>
                </w:p>
              </w:tc>
              <w:tc>
                <w:tcPr>
                  <w:tcW w:w="2664" w:type="dxa"/>
                  <w:tcBorders>
                    <w:top w:val="nil"/>
                    <w:left w:val="nil"/>
                    <w:bottom w:val="single" w:sz="8" w:space="0" w:color="auto"/>
                    <w:right w:val="single" w:sz="8" w:space="0" w:color="auto"/>
                  </w:tcBorders>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-0.32</w:t>
                  </w:r>
                </w:p>
              </w:tc>
            </w:tr>
          </w:tbl>
          <w:p>
            <w:pPr>
              <w:rPr>
                <w:i/>
              </w:rPr>
            </w:pPr>
          </w:p>
          <w:p>
            <w:r>
              <w:t>Attendance figures</w:t>
            </w:r>
          </w:p>
          <w:tbl>
            <w:tblPr>
              <w:tblpPr w:leftFromText="180" w:rightFromText="180" w:vertAnchor="text" w:horzAnchor="margin" w:tblpY="-155"/>
              <w:tblOverlap w:val="neve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036"/>
              <w:gridCol w:w="1783"/>
              <w:gridCol w:w="1500"/>
              <w:gridCol w:w="1770"/>
              <w:gridCol w:w="2178"/>
            </w:tblGrid>
            <w:tr>
              <w:trPr>
                <w:trHeight w:val="479"/>
              </w:trPr>
              <w:tc>
                <w:tcPr>
                  <w:tcW w:w="2036" w:type="dxa"/>
                  <w:noWrap/>
                  <w:vAlign w:val="center"/>
                  <w:hideMark/>
                </w:tcPr>
                <w:p>
                  <w:pPr>
                    <w:spacing w:after="0" w:line="240" w:lineRule="auto"/>
                    <w:jc w:val="center"/>
                    <w:rPr>
                      <w:rFonts w:ascii="Times New Roman" w:hAnsi="Times New Roman"/>
                    </w:rPr>
                  </w:pPr>
                </w:p>
              </w:tc>
              <w:tc>
                <w:tcPr>
                  <w:tcW w:w="1773" w:type="dxa"/>
                  <w:shd w:val="clear" w:color="000000" w:fill="FFFFFF"/>
                  <w:vAlign w:val="center"/>
                  <w:hideMark/>
                </w:tcPr>
                <w:p>
                  <w:pPr>
                    <w:spacing w:after="0" w:line="240" w:lineRule="auto"/>
                    <w:jc w:val="center"/>
                    <w:rPr>
                      <w:rFonts w:ascii="Calibri" w:hAnsi="Calibri" w:cs="Arial"/>
                      <w:b/>
                      <w:bCs/>
                      <w:color w:val="000000"/>
                    </w:rPr>
                  </w:pPr>
                  <w:r>
                    <w:rPr>
                      <w:rFonts w:ascii="Calibri" w:hAnsi="Calibri" w:cs="Arial"/>
                      <w:b/>
                      <w:bCs/>
                      <w:color w:val="000000"/>
                    </w:rPr>
                    <w:t>Cambridgeshire Secondary</w:t>
                  </w:r>
                </w:p>
              </w:tc>
              <w:tc>
                <w:tcPr>
                  <w:tcW w:w="1501" w:type="dxa"/>
                  <w:shd w:val="clear" w:color="000000" w:fill="FFFFFF"/>
                  <w:vAlign w:val="center"/>
                </w:tcPr>
                <w:p>
                  <w:pPr>
                    <w:spacing w:after="0" w:line="240" w:lineRule="auto"/>
                    <w:jc w:val="center"/>
                    <w:rPr>
                      <w:rFonts w:ascii="Calibri" w:hAnsi="Calibri" w:cs="Arial"/>
                      <w:b/>
                      <w:bCs/>
                      <w:color w:val="000000"/>
                    </w:rPr>
                  </w:pPr>
                  <w:r>
                    <w:rPr>
                      <w:rFonts w:ascii="Calibri" w:hAnsi="Calibri" w:cs="Arial"/>
                      <w:b/>
                      <w:bCs/>
                      <w:color w:val="000000"/>
                    </w:rPr>
                    <w:t>England Secondary</w:t>
                  </w:r>
                </w:p>
              </w:tc>
              <w:tc>
                <w:tcPr>
                  <w:tcW w:w="1774" w:type="dxa"/>
                  <w:shd w:val="clear" w:color="000000" w:fill="FFFFFF"/>
                  <w:vAlign w:val="center"/>
                  <w:hideMark/>
                </w:tcPr>
                <w:p>
                  <w:pPr>
                    <w:spacing w:after="0" w:line="240" w:lineRule="auto"/>
                    <w:jc w:val="center"/>
                    <w:rPr>
                      <w:rFonts w:ascii="Calibri" w:hAnsi="Calibri" w:cs="Arial"/>
                      <w:b/>
                      <w:bCs/>
                      <w:color w:val="000000"/>
                    </w:rPr>
                  </w:pPr>
                  <w:r>
                    <w:rPr>
                      <w:rFonts w:ascii="Calibri" w:hAnsi="Calibri" w:cs="Arial"/>
                      <w:b/>
                      <w:bCs/>
                      <w:color w:val="000000"/>
                    </w:rPr>
                    <w:t>WVC Non PP</w:t>
                  </w:r>
                </w:p>
              </w:tc>
              <w:tc>
                <w:tcPr>
                  <w:tcW w:w="2183" w:type="dxa"/>
                  <w:shd w:val="clear" w:color="000000" w:fill="FFFFFF"/>
                  <w:vAlign w:val="center"/>
                  <w:hideMark/>
                </w:tcPr>
                <w:p>
                  <w:pPr>
                    <w:spacing w:after="0" w:line="240" w:lineRule="auto"/>
                    <w:jc w:val="center"/>
                    <w:rPr>
                      <w:rFonts w:ascii="Calibri" w:hAnsi="Calibri" w:cs="Arial"/>
                      <w:b/>
                      <w:bCs/>
                      <w:color w:val="000000"/>
                    </w:rPr>
                  </w:pPr>
                  <w:r>
                    <w:rPr>
                      <w:rFonts w:ascii="Calibri" w:hAnsi="Calibri" w:cs="Arial"/>
                      <w:b/>
                      <w:bCs/>
                      <w:color w:val="000000"/>
                    </w:rPr>
                    <w:t>WVC PP</w:t>
                  </w:r>
                </w:p>
              </w:tc>
            </w:tr>
            <w:tr>
              <w:trPr>
                <w:trHeight w:val="164"/>
              </w:trPr>
              <w:tc>
                <w:tcPr>
                  <w:tcW w:w="2036" w:type="dxa"/>
                  <w:shd w:val="clear" w:color="auto" w:fill="auto"/>
                  <w:vAlign w:val="center"/>
                  <w:hideMark/>
                </w:tcPr>
                <w:p>
                  <w:pPr>
                    <w:spacing w:after="0" w:line="240" w:lineRule="auto"/>
                    <w:jc w:val="center"/>
                    <w:rPr>
                      <w:rFonts w:ascii="Calibri" w:hAnsi="Calibri" w:cs="Arial"/>
                      <w:b/>
                      <w:bCs/>
                      <w:color w:val="000000"/>
                    </w:rPr>
                  </w:pPr>
                  <w:r>
                    <w:rPr>
                      <w:rFonts w:asciiTheme="minorHAnsi" w:hAnsiTheme="minorHAnsi" w:cstheme="minorHAnsi"/>
                    </w:rPr>
                    <w:t>1</w:t>
                  </w:r>
                  <w:r>
                    <w:rPr>
                      <w:rFonts w:asciiTheme="minorHAnsi" w:hAnsiTheme="minorHAnsi" w:cstheme="minorHAnsi"/>
                      <w:vertAlign w:val="superscript"/>
                    </w:rPr>
                    <w:t>st</w:t>
                  </w:r>
                  <w:r>
                    <w:rPr>
                      <w:rFonts w:asciiTheme="minorHAnsi" w:hAnsiTheme="minorHAnsi" w:cstheme="minorHAnsi"/>
                    </w:rPr>
                    <w:t xml:space="preserve"> – 30</w:t>
                  </w:r>
                  <w:r>
                    <w:rPr>
                      <w:rFonts w:asciiTheme="minorHAnsi" w:hAnsiTheme="minorHAnsi" w:cstheme="minorHAnsi"/>
                      <w:vertAlign w:val="superscript"/>
                    </w:rPr>
                    <w:t>th</w:t>
                  </w:r>
                  <w:r>
                    <w:rPr>
                      <w:rFonts w:asciiTheme="minorHAnsi" w:hAnsiTheme="minorHAnsi" w:cstheme="minorHAnsi"/>
                    </w:rPr>
                    <w:t xml:space="preserve"> Sept</w:t>
                  </w:r>
                  <w:r>
                    <w:rPr>
                      <w:rFonts w:ascii="Calibri" w:hAnsi="Calibri" w:cs="Arial"/>
                      <w:b/>
                      <w:bCs/>
                      <w:color w:val="000000"/>
                    </w:rPr>
                    <w:t xml:space="preserve"> </w:t>
                  </w:r>
                </w:p>
              </w:tc>
              <w:tc>
                <w:tcPr>
                  <w:tcW w:w="1773" w:type="dxa"/>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86.7%</w:t>
                  </w:r>
                </w:p>
              </w:tc>
              <w:tc>
                <w:tcPr>
                  <w:tcW w:w="1501" w:type="dxa"/>
                  <w:vAlign w:val="center"/>
                </w:tcPr>
                <w:p>
                  <w:pPr>
                    <w:spacing w:after="0" w:line="240" w:lineRule="auto"/>
                    <w:jc w:val="center"/>
                    <w:rPr>
                      <w:rFonts w:ascii="Calibri" w:hAnsi="Calibri" w:cs="Arial"/>
                      <w:color w:val="000000"/>
                    </w:rPr>
                  </w:pPr>
                  <w:r>
                    <w:rPr>
                      <w:rFonts w:ascii="Calibri" w:hAnsi="Calibri" w:cs="Arial"/>
                      <w:color w:val="000000"/>
                    </w:rPr>
                    <w:t>86.2%</w:t>
                  </w:r>
                </w:p>
              </w:tc>
              <w:tc>
                <w:tcPr>
                  <w:tcW w:w="1774" w:type="dxa"/>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94.4%</w:t>
                  </w:r>
                </w:p>
              </w:tc>
              <w:tc>
                <w:tcPr>
                  <w:tcW w:w="2183" w:type="dxa"/>
                  <w:shd w:val="clear" w:color="auto" w:fill="auto"/>
                  <w:vAlign w:val="center"/>
                  <w:hideMark/>
                </w:tcPr>
                <w:p>
                  <w:pPr>
                    <w:spacing w:after="0" w:line="240" w:lineRule="auto"/>
                    <w:jc w:val="center"/>
                    <w:rPr>
                      <w:rFonts w:ascii="Calibri" w:hAnsi="Calibri" w:cs="Arial"/>
                      <w:color w:val="000000"/>
                    </w:rPr>
                  </w:pPr>
                  <w:r>
                    <w:rPr>
                      <w:rFonts w:ascii="Calibri" w:hAnsi="Calibri" w:cs="Arial"/>
                      <w:color w:val="000000"/>
                    </w:rPr>
                    <w:t>89.5%</w:t>
                  </w:r>
                </w:p>
              </w:tc>
            </w:tr>
          </w:tbl>
          <w:p/>
          <w:p>
            <w:r>
              <w:t>Behaviour point figures</w:t>
            </w:r>
          </w:p>
          <w:tbl>
            <w:tblPr>
              <w:tblpPr w:leftFromText="180" w:rightFromText="180" w:vertAnchor="text" w:horzAnchor="margin" w:tblpY="-155"/>
              <w:tblOverlap w:val="never"/>
              <w:tblW w:w="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036"/>
              <w:gridCol w:w="2212"/>
              <w:gridCol w:w="1736"/>
            </w:tblGrid>
            <w:tr>
              <w:trPr>
                <w:trHeight w:val="479"/>
              </w:trPr>
              <w:tc>
                <w:tcPr>
                  <w:tcW w:w="2036" w:type="dxa"/>
                  <w:noWrap/>
                  <w:vAlign w:val="center"/>
                  <w:hideMark/>
                </w:tcPr>
                <w:p>
                  <w:pPr>
                    <w:spacing w:after="0" w:line="240" w:lineRule="auto"/>
                    <w:jc w:val="center"/>
                    <w:rPr>
                      <w:rFonts w:ascii="Times New Roman" w:hAnsi="Times New Roman"/>
                    </w:rPr>
                  </w:pPr>
                </w:p>
              </w:tc>
              <w:tc>
                <w:tcPr>
                  <w:tcW w:w="2212" w:type="dxa"/>
                  <w:shd w:val="clear" w:color="000000" w:fill="FFFFFF"/>
                  <w:vAlign w:val="center"/>
                  <w:hideMark/>
                </w:tcPr>
                <w:p>
                  <w:pPr>
                    <w:spacing w:after="0" w:line="240" w:lineRule="auto"/>
                    <w:jc w:val="center"/>
                    <w:rPr>
                      <w:rFonts w:ascii="Calibri" w:hAnsi="Calibri" w:cs="Arial"/>
                      <w:b/>
                      <w:bCs/>
                      <w:color w:val="000000"/>
                    </w:rPr>
                  </w:pPr>
                  <w:r>
                    <w:rPr>
                      <w:rFonts w:ascii="Calibri" w:hAnsi="Calibri" w:cs="Arial"/>
                      <w:b/>
                      <w:bCs/>
                      <w:color w:val="000000"/>
                    </w:rPr>
                    <w:t>WVC Non PP (501</w:t>
                  </w:r>
                  <w:bookmarkStart w:id="17" w:name="_GoBack"/>
                  <w:bookmarkEnd w:id="17"/>
                  <w:r>
                    <w:rPr>
                      <w:rFonts w:ascii="Calibri" w:hAnsi="Calibri" w:cs="Arial"/>
                      <w:b/>
                      <w:bCs/>
                      <w:color w:val="000000"/>
                    </w:rPr>
                    <w:t>)</w:t>
                  </w:r>
                </w:p>
              </w:tc>
              <w:tc>
                <w:tcPr>
                  <w:tcW w:w="1736" w:type="dxa"/>
                  <w:shd w:val="clear" w:color="000000" w:fill="FFFFFF"/>
                  <w:vAlign w:val="center"/>
                  <w:hideMark/>
                </w:tcPr>
                <w:p>
                  <w:pPr>
                    <w:spacing w:after="0" w:line="240" w:lineRule="auto"/>
                    <w:jc w:val="center"/>
                    <w:rPr>
                      <w:rFonts w:ascii="Calibri" w:hAnsi="Calibri" w:cs="Arial"/>
                      <w:b/>
                      <w:bCs/>
                      <w:color w:val="000000"/>
                    </w:rPr>
                  </w:pPr>
                  <w:r>
                    <w:rPr>
                      <w:rFonts w:ascii="Calibri" w:hAnsi="Calibri" w:cs="Arial"/>
                      <w:b/>
                      <w:bCs/>
                      <w:color w:val="000000"/>
                    </w:rPr>
                    <w:t>WVC PP (171)</w:t>
                  </w:r>
                </w:p>
              </w:tc>
            </w:tr>
            <w:tr>
              <w:trPr>
                <w:trHeight w:val="164"/>
              </w:trPr>
              <w:tc>
                <w:tcPr>
                  <w:tcW w:w="2036" w:type="dxa"/>
                  <w:shd w:val="clear" w:color="auto" w:fill="auto"/>
                  <w:vAlign w:val="center"/>
                  <w:hideMark/>
                </w:tcPr>
                <w:p>
                  <w:pPr>
                    <w:spacing w:after="0" w:line="240" w:lineRule="auto"/>
                    <w:jc w:val="center"/>
                    <w:rPr>
                      <w:rFonts w:ascii="Calibri" w:hAnsi="Calibri" w:cs="Arial"/>
                      <w:b/>
                      <w:bCs/>
                      <w:color w:val="000000"/>
                    </w:rPr>
                  </w:pPr>
                  <w:r>
                    <w:rPr>
                      <w:rFonts w:asciiTheme="minorHAnsi" w:hAnsiTheme="minorHAnsi" w:cstheme="minorHAnsi"/>
                    </w:rPr>
                    <w:t>1</w:t>
                  </w:r>
                  <w:r>
                    <w:rPr>
                      <w:rFonts w:asciiTheme="minorHAnsi" w:hAnsiTheme="minorHAnsi" w:cstheme="minorHAnsi"/>
                      <w:vertAlign w:val="superscript"/>
                    </w:rPr>
                    <w:t>st</w:t>
                  </w:r>
                  <w:r>
                    <w:rPr>
                      <w:rFonts w:asciiTheme="minorHAnsi" w:hAnsiTheme="minorHAnsi" w:cstheme="minorHAnsi"/>
                    </w:rPr>
                    <w:t xml:space="preserve"> – 30</w:t>
                  </w:r>
                  <w:r>
                    <w:rPr>
                      <w:rFonts w:asciiTheme="minorHAnsi" w:hAnsiTheme="minorHAnsi" w:cstheme="minorHAnsi"/>
                      <w:vertAlign w:val="superscript"/>
                    </w:rPr>
                    <w:t>th</w:t>
                  </w:r>
                  <w:r>
                    <w:rPr>
                      <w:rFonts w:asciiTheme="minorHAnsi" w:hAnsiTheme="minorHAnsi" w:cstheme="minorHAnsi"/>
                    </w:rPr>
                    <w:t xml:space="preserve"> Sept</w:t>
                  </w:r>
                  <w:r>
                    <w:rPr>
                      <w:rFonts w:ascii="Calibri" w:hAnsi="Calibri" w:cs="Arial"/>
                      <w:b/>
                      <w:bCs/>
                      <w:color w:val="000000"/>
                    </w:rPr>
                    <w:t xml:space="preserve"> </w:t>
                  </w:r>
                </w:p>
              </w:tc>
              <w:tc>
                <w:tcPr>
                  <w:tcW w:w="2212" w:type="dxa"/>
                  <w:shd w:val="clear" w:color="auto" w:fill="auto"/>
                  <w:vAlign w:val="center"/>
                </w:tcPr>
                <w:p>
                  <w:pPr>
                    <w:spacing w:after="0" w:line="240" w:lineRule="auto"/>
                    <w:jc w:val="center"/>
                    <w:rPr>
                      <w:rFonts w:ascii="Calibri" w:hAnsi="Calibri" w:cs="Arial"/>
                      <w:color w:val="000000"/>
                    </w:rPr>
                  </w:pPr>
                  <w:r>
                    <w:rPr>
                      <w:rFonts w:ascii="Calibri" w:hAnsi="Calibri" w:cs="Arial"/>
                      <w:color w:val="000000"/>
                    </w:rPr>
                    <w:t>185</w:t>
                  </w:r>
                </w:p>
              </w:tc>
              <w:tc>
                <w:tcPr>
                  <w:tcW w:w="1736" w:type="dxa"/>
                  <w:shd w:val="clear" w:color="auto" w:fill="auto"/>
                  <w:vAlign w:val="center"/>
                </w:tcPr>
                <w:p>
                  <w:pPr>
                    <w:spacing w:after="0" w:line="240" w:lineRule="auto"/>
                    <w:jc w:val="center"/>
                    <w:rPr>
                      <w:rFonts w:ascii="Calibri" w:hAnsi="Calibri" w:cs="Arial"/>
                      <w:color w:val="000000"/>
                    </w:rPr>
                  </w:pPr>
                  <w:r>
                    <w:rPr>
                      <w:rFonts w:ascii="Calibri" w:hAnsi="Calibri" w:cs="Arial"/>
                      <w:color w:val="000000"/>
                    </w:rPr>
                    <w:t>80</w:t>
                  </w:r>
                </w:p>
              </w:tc>
            </w:tr>
          </w:tbl>
          <w:p>
            <w:pPr>
              <w:ind w:firstLine="720"/>
            </w:pPr>
          </w:p>
        </w:tc>
      </w:tr>
    </w:tbl>
    <w:p>
      <w:pPr>
        <w:pStyle w:val="Heading2"/>
        <w:spacing w:before="600"/>
      </w:pPr>
      <w:r>
        <w:t>Externally provided programmes</w:t>
      </w:r>
    </w:p>
    <w:p>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Provider</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pP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pP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pPr>
          </w:p>
        </w:tc>
      </w:tr>
    </w:tbl>
    <w:p>
      <w:pPr>
        <w:pStyle w:val="Heading2"/>
        <w:spacing w:before="600"/>
      </w:pPr>
      <w:r>
        <w:lastRenderedPageBreak/>
        <w:t>Service pupil premium funding (optional)</w:t>
      </w:r>
    </w:p>
    <w:p>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rPr>
                <w:bCs/>
              </w:rPr>
              <w:t xml:space="preserve">Details </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pPr>
            <w:r>
              <w:t xml:space="preserve">Discretionary funding for additional classroom resources. </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pPr>
            <w:r>
              <w:t xml:space="preserve">Ensured families had access to funding for, for example, school I-Pads. </w:t>
            </w:r>
          </w:p>
        </w:tc>
      </w:tr>
      <w:bookmarkEnd w:id="14"/>
      <w:bookmarkEnd w:id="15"/>
      <w:bookmarkEnd w:id="16"/>
      <w:bookmarkEnd w:id="18"/>
    </w:tbl>
    <w:p/>
    <w:sectPr>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firstLine="4513"/>
    </w:pP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7C652D"/>
    <w:multiLevelType w:val="multilevel"/>
    <w:tmpl w:val="57C6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F550E25"/>
    <w:multiLevelType w:val="multilevel"/>
    <w:tmpl w:val="8984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5F44323"/>
    <w:multiLevelType w:val="multilevel"/>
    <w:tmpl w:val="97CE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8"/>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pPr>
      <w:suppressAutoHyphens w:val="0"/>
      <w:autoSpaceDN/>
      <w:spacing w:before="100" w:beforeAutospacing="1" w:after="142" w:line="276" w:lineRule="auto"/>
    </w:pPr>
    <w:rPr>
      <w:rFonts w:ascii="Times New Roman" w:hAnsi="Times New Roman"/>
      <w:color w:val="auto"/>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015">
      <w:bodyDiv w:val="1"/>
      <w:marLeft w:val="0"/>
      <w:marRight w:val="0"/>
      <w:marTop w:val="0"/>
      <w:marBottom w:val="0"/>
      <w:divBdr>
        <w:top w:val="none" w:sz="0" w:space="0" w:color="auto"/>
        <w:left w:val="none" w:sz="0" w:space="0" w:color="auto"/>
        <w:bottom w:val="none" w:sz="0" w:space="0" w:color="auto"/>
        <w:right w:val="none" w:sz="0" w:space="0" w:color="auto"/>
      </w:divBdr>
    </w:div>
    <w:div w:id="345716948">
      <w:bodyDiv w:val="1"/>
      <w:marLeft w:val="0"/>
      <w:marRight w:val="0"/>
      <w:marTop w:val="0"/>
      <w:marBottom w:val="0"/>
      <w:divBdr>
        <w:top w:val="none" w:sz="0" w:space="0" w:color="auto"/>
        <w:left w:val="none" w:sz="0" w:space="0" w:color="auto"/>
        <w:bottom w:val="none" w:sz="0" w:space="0" w:color="auto"/>
        <w:right w:val="none" w:sz="0" w:space="0" w:color="auto"/>
      </w:divBdr>
    </w:div>
    <w:div w:id="172270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ttontrust.com/our-research/remote-learning-the-digital-div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ducationendowmentfoundation.org.uk/evidence-summaries/teaching-learning-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2D559C9B493408B0A9C23B2EB8333" ma:contentTypeVersion="12" ma:contentTypeDescription="Create a new document." ma:contentTypeScope="" ma:versionID="de00ca2cc5b33bd9a8f066731bf7acb3">
  <xsd:schema xmlns:xsd="http://www.w3.org/2001/XMLSchema" xmlns:xs="http://www.w3.org/2001/XMLSchema" xmlns:p="http://schemas.microsoft.com/office/2006/metadata/properties" xmlns:ns3="e64be6c7-b518-4af7-9d4b-cc9f07cba9a3" xmlns:ns4="56f1438a-7987-4624-9a91-8fac69167b31" targetNamespace="http://schemas.microsoft.com/office/2006/metadata/properties" ma:root="true" ma:fieldsID="79a628c52278913ab374dd6051c97867" ns3:_="" ns4:_="">
    <xsd:import namespace="e64be6c7-b518-4af7-9d4b-cc9f07cba9a3"/>
    <xsd:import namespace="56f1438a-7987-4624-9a91-8fac69167b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be6c7-b518-4af7-9d4b-cc9f07cba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1438a-7987-4624-9a91-8fac69167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68DC3-6D57-41B1-9F37-15F1D9C9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be6c7-b518-4af7-9d4b-cc9f07cba9a3"/>
    <ds:schemaRef ds:uri="56f1438a-7987-4624-9a91-8fac69167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7A337-8EB0-4276-9A26-7CF990C6BE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f1438a-7987-4624-9a91-8fac69167b31"/>
    <ds:schemaRef ds:uri="e64be6c7-b518-4af7-9d4b-cc9f07cba9a3"/>
    <ds:schemaRef ds:uri="http://www.w3.org/XML/1998/namespace"/>
    <ds:schemaRef ds:uri="http://purl.org/dc/dcmitype/"/>
  </ds:schemaRefs>
</ds:datastoreItem>
</file>

<file path=customXml/itemProps3.xml><?xml version="1.0" encoding="utf-8"?>
<ds:datastoreItem xmlns:ds="http://schemas.openxmlformats.org/officeDocument/2006/customXml" ds:itemID="{0A3A8DA0-C149-447D-864E-48404815C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Rose Cornelius</cp:lastModifiedBy>
  <cp:revision>12</cp:revision>
  <cp:lastPrinted>2014-09-17T13:26:00Z</cp:lastPrinted>
  <dcterms:created xsi:type="dcterms:W3CDTF">2021-10-04T06:44:00Z</dcterms:created>
  <dcterms:modified xsi:type="dcterms:W3CDTF">2021-10-05T09:36:00Z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0x01010018D2D559C9B493408B0A9C23B2EB8333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