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BF6B8" w14:textId="5E0AE551" w:rsidR="00EB75BF" w:rsidRDefault="00EB75BF"/>
    <w:tbl>
      <w:tblPr>
        <w:tblStyle w:val="TableGrid"/>
        <w:tblW w:w="15331" w:type="dxa"/>
        <w:tblLook w:val="04A0" w:firstRow="1" w:lastRow="0" w:firstColumn="1" w:lastColumn="0" w:noHBand="0" w:noVBand="1"/>
      </w:tblPr>
      <w:tblGrid>
        <w:gridCol w:w="2142"/>
        <w:gridCol w:w="4908"/>
        <w:gridCol w:w="5671"/>
        <w:gridCol w:w="2610"/>
      </w:tblGrid>
      <w:tr w:rsidR="00EB75BF" w:rsidRPr="008778B0" w14:paraId="6372A44A" w14:textId="77777777" w:rsidTr="00F53477">
        <w:trPr>
          <w:trHeight w:val="339"/>
        </w:trPr>
        <w:tc>
          <w:tcPr>
            <w:tcW w:w="15331" w:type="dxa"/>
            <w:gridSpan w:val="4"/>
          </w:tcPr>
          <w:p w14:paraId="691D1B51" w14:textId="77777777" w:rsidR="00EB75BF" w:rsidRDefault="00EB75B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Witchford</w:t>
            </w:r>
            <w:proofErr w:type="spellEnd"/>
            <w:r>
              <w:rPr>
                <w:rFonts w:cstheme="minorHAnsi"/>
              </w:rPr>
              <w:t xml:space="preserve"> Village College</w:t>
            </w:r>
          </w:p>
          <w:p w14:paraId="131CC460" w14:textId="77777777" w:rsidR="00EB75BF" w:rsidRDefault="00EB75BF">
            <w:pPr>
              <w:rPr>
                <w:rFonts w:cstheme="minorHAnsi"/>
              </w:rPr>
            </w:pPr>
            <w:r>
              <w:rPr>
                <w:rFonts w:cstheme="minorHAnsi"/>
              </w:rPr>
              <w:t>Provisional Allocation:  £60, 760</w:t>
            </w:r>
          </w:p>
          <w:p w14:paraId="19409713" w14:textId="77777777" w:rsidR="00EB75BF" w:rsidRDefault="00EB75BF">
            <w:pPr>
              <w:rPr>
                <w:rFonts w:cstheme="minorHAnsi"/>
              </w:rPr>
            </w:pPr>
            <w:r>
              <w:rPr>
                <w:rFonts w:cstheme="minorHAnsi"/>
              </w:rPr>
              <w:t>Autumn 2020 Payment: £15, 190</w:t>
            </w:r>
          </w:p>
          <w:p w14:paraId="6668F457" w14:textId="14E7BCBF" w:rsidR="00EB75BF" w:rsidRPr="008778B0" w:rsidRDefault="00EB75BF">
            <w:pPr>
              <w:rPr>
                <w:rFonts w:cstheme="minorHAnsi"/>
              </w:rPr>
            </w:pPr>
            <w:bookmarkStart w:id="0" w:name="_GoBack"/>
            <w:bookmarkEnd w:id="0"/>
          </w:p>
        </w:tc>
      </w:tr>
      <w:tr w:rsidR="008778B0" w:rsidRPr="008778B0" w14:paraId="228602E4" w14:textId="77777777" w:rsidTr="002F381D">
        <w:trPr>
          <w:trHeight w:val="339"/>
        </w:trPr>
        <w:tc>
          <w:tcPr>
            <w:tcW w:w="2142" w:type="dxa"/>
          </w:tcPr>
          <w:p w14:paraId="1AE3FE2A" w14:textId="684CB2C1" w:rsidR="00DE1224" w:rsidRPr="008778B0" w:rsidRDefault="00DE1224">
            <w:pPr>
              <w:rPr>
                <w:rFonts w:cstheme="minorHAnsi"/>
              </w:rPr>
            </w:pPr>
            <w:r w:rsidRPr="008778B0">
              <w:rPr>
                <w:rFonts w:cstheme="minorHAnsi"/>
              </w:rPr>
              <w:t>Desired Outcome</w:t>
            </w:r>
          </w:p>
        </w:tc>
        <w:tc>
          <w:tcPr>
            <w:tcW w:w="4908" w:type="dxa"/>
          </w:tcPr>
          <w:p w14:paraId="19B7745E" w14:textId="15B7F8D8" w:rsidR="00DE1224" w:rsidRPr="008778B0" w:rsidRDefault="00DE1224">
            <w:pPr>
              <w:rPr>
                <w:rFonts w:cstheme="minorHAnsi"/>
              </w:rPr>
            </w:pPr>
            <w:r w:rsidRPr="008778B0">
              <w:rPr>
                <w:rFonts w:cstheme="minorHAnsi"/>
              </w:rPr>
              <w:t>Strategy</w:t>
            </w:r>
          </w:p>
        </w:tc>
        <w:tc>
          <w:tcPr>
            <w:tcW w:w="5671" w:type="dxa"/>
          </w:tcPr>
          <w:p w14:paraId="2DF80C32" w14:textId="5E75C0A3" w:rsidR="00DE1224" w:rsidRPr="008778B0" w:rsidRDefault="00DE1224">
            <w:pPr>
              <w:rPr>
                <w:rFonts w:cstheme="minorHAnsi"/>
              </w:rPr>
            </w:pPr>
            <w:r w:rsidRPr="008778B0">
              <w:rPr>
                <w:rFonts w:cstheme="minorHAnsi"/>
              </w:rPr>
              <w:t>Rationale</w:t>
            </w:r>
          </w:p>
        </w:tc>
        <w:tc>
          <w:tcPr>
            <w:tcW w:w="2610" w:type="dxa"/>
          </w:tcPr>
          <w:p w14:paraId="1FF8B009" w14:textId="5F1F19CA" w:rsidR="00DE1224" w:rsidRPr="008778B0" w:rsidRDefault="00DE1224">
            <w:pPr>
              <w:rPr>
                <w:rFonts w:cstheme="minorHAnsi"/>
              </w:rPr>
            </w:pPr>
            <w:r w:rsidRPr="008778B0">
              <w:rPr>
                <w:rFonts w:cstheme="minorHAnsi"/>
              </w:rPr>
              <w:t>Review</w:t>
            </w:r>
            <w:r w:rsidR="002F381D">
              <w:rPr>
                <w:rFonts w:cstheme="minorHAnsi"/>
              </w:rPr>
              <w:t xml:space="preserve"> and Staff Lead</w:t>
            </w:r>
          </w:p>
        </w:tc>
      </w:tr>
      <w:tr w:rsidR="00736671" w:rsidRPr="008778B0" w14:paraId="374D7C0A" w14:textId="77777777" w:rsidTr="002F381D">
        <w:trPr>
          <w:trHeight w:val="339"/>
        </w:trPr>
        <w:tc>
          <w:tcPr>
            <w:tcW w:w="2142" w:type="dxa"/>
            <w:vMerge w:val="restart"/>
          </w:tcPr>
          <w:p w14:paraId="6BDF021D" w14:textId="77777777" w:rsidR="00736671" w:rsidRDefault="007366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Ensure that the Progress 8 figure is +0.5 and </w:t>
            </w:r>
            <w:proofErr w:type="gramStart"/>
            <w:r>
              <w:rPr>
                <w:rFonts w:cstheme="minorHAnsi"/>
              </w:rPr>
              <w:t>that students</w:t>
            </w:r>
            <w:proofErr w:type="gramEnd"/>
            <w:r>
              <w:rPr>
                <w:rFonts w:cstheme="minorHAnsi"/>
              </w:rPr>
              <w:t xml:space="preserve"> who are disadvantaged make progress that is in line with their peers.</w:t>
            </w:r>
          </w:p>
          <w:p w14:paraId="54D433F7" w14:textId="44F1E246" w:rsidR="00736671" w:rsidRDefault="00736671">
            <w:pPr>
              <w:rPr>
                <w:rFonts w:cstheme="minorHAnsi"/>
              </w:rPr>
            </w:pPr>
          </w:p>
          <w:p w14:paraId="0E827AF0" w14:textId="77777777" w:rsidR="00736671" w:rsidRDefault="00736671">
            <w:pPr>
              <w:rPr>
                <w:rFonts w:cstheme="minorHAnsi"/>
              </w:rPr>
            </w:pPr>
          </w:p>
          <w:p w14:paraId="37484F92" w14:textId="05C715E3" w:rsidR="00736671" w:rsidRPr="008778B0" w:rsidRDefault="00736671">
            <w:pPr>
              <w:rPr>
                <w:rFonts w:cstheme="minorHAnsi"/>
              </w:rPr>
            </w:pPr>
            <w:r>
              <w:rPr>
                <w:rFonts w:cstheme="minorHAnsi"/>
              </w:rPr>
              <w:t>Ensure that HPA students make progress that is at least as good as their peers.</w:t>
            </w:r>
          </w:p>
        </w:tc>
        <w:tc>
          <w:tcPr>
            <w:tcW w:w="4908" w:type="dxa"/>
          </w:tcPr>
          <w:p w14:paraId="0A29B275" w14:textId="379A58AA" w:rsidR="00736671" w:rsidRPr="008778B0" w:rsidRDefault="00736671">
            <w:pPr>
              <w:rPr>
                <w:rFonts w:cstheme="minorHAnsi"/>
              </w:rPr>
            </w:pPr>
            <w:proofErr w:type="spellStart"/>
            <w:r w:rsidRPr="008778B0">
              <w:rPr>
                <w:rFonts w:cstheme="minorHAnsi"/>
              </w:rPr>
              <w:t>Lexonik</w:t>
            </w:r>
            <w:proofErr w:type="spellEnd"/>
            <w:r w:rsidRPr="008778B0">
              <w:rPr>
                <w:rFonts w:cstheme="minorHAnsi"/>
              </w:rPr>
              <w:t xml:space="preserve"> subscription</w:t>
            </w:r>
          </w:p>
        </w:tc>
        <w:tc>
          <w:tcPr>
            <w:tcW w:w="5671" w:type="dxa"/>
            <w:vMerge w:val="restart"/>
          </w:tcPr>
          <w:p w14:paraId="7CAFECDF" w14:textId="0CA53670" w:rsidR="00736671" w:rsidRPr="008778B0" w:rsidRDefault="00736671">
            <w:pPr>
              <w:rPr>
                <w:rFonts w:cstheme="minorHAnsi"/>
              </w:rPr>
            </w:pPr>
            <w:r w:rsidRPr="008778B0">
              <w:rPr>
                <w:rFonts w:cstheme="minorHAnsi"/>
                <w:shd w:val="clear" w:color="auto" w:fill="FFFFFF"/>
              </w:rPr>
              <w:t xml:space="preserve">Reading comprehension strategies focus on the learners’ understanding of written text. Pupils are taught a range of </w:t>
            </w:r>
            <w:proofErr w:type="gramStart"/>
            <w:r w:rsidRPr="008778B0">
              <w:rPr>
                <w:rFonts w:cstheme="minorHAnsi"/>
                <w:shd w:val="clear" w:color="auto" w:fill="FFFFFF"/>
              </w:rPr>
              <w:t>techniques which</w:t>
            </w:r>
            <w:proofErr w:type="gramEnd"/>
            <w:r w:rsidRPr="008778B0">
              <w:rPr>
                <w:rFonts w:cstheme="minorHAnsi"/>
                <w:shd w:val="clear" w:color="auto" w:fill="FFFFFF"/>
              </w:rPr>
              <w:t xml:space="preserve"> enable them to comprehend the meaning of what they read. These can </w:t>
            </w:r>
            <w:proofErr w:type="gramStart"/>
            <w:r w:rsidRPr="008778B0">
              <w:rPr>
                <w:rFonts w:cstheme="minorHAnsi"/>
                <w:shd w:val="clear" w:color="auto" w:fill="FFFFFF"/>
              </w:rPr>
              <w:t>include:</w:t>
            </w:r>
            <w:proofErr w:type="gramEnd"/>
            <w:r w:rsidRPr="008778B0">
              <w:rPr>
                <w:rFonts w:cstheme="minorHAnsi"/>
                <w:shd w:val="clear" w:color="auto" w:fill="FFFFFF"/>
              </w:rPr>
              <w:t xml:space="preserve"> inferring meaning from context; summarising or identifying key points; using graphic or semantic organisers; developing questioning strategies; and monitoring their own comprehension and identifying difficulties themselves. EEF</w:t>
            </w:r>
          </w:p>
        </w:tc>
        <w:tc>
          <w:tcPr>
            <w:tcW w:w="2610" w:type="dxa"/>
            <w:vMerge w:val="restart"/>
          </w:tcPr>
          <w:p w14:paraId="041F13F6" w14:textId="445F71AC" w:rsidR="00736671" w:rsidRPr="008778B0" w:rsidRDefault="00736671">
            <w:pPr>
              <w:rPr>
                <w:rFonts w:cstheme="minorHAnsi"/>
              </w:rPr>
            </w:pPr>
            <w:r>
              <w:rPr>
                <w:rFonts w:cstheme="minorHAnsi"/>
              </w:rPr>
              <w:t>JAF</w:t>
            </w:r>
          </w:p>
        </w:tc>
      </w:tr>
      <w:tr w:rsidR="00736671" w:rsidRPr="008778B0" w14:paraId="0BFA2AB5" w14:textId="77777777" w:rsidTr="002F381D">
        <w:trPr>
          <w:trHeight w:val="1023"/>
        </w:trPr>
        <w:tc>
          <w:tcPr>
            <w:tcW w:w="2142" w:type="dxa"/>
            <w:vMerge/>
          </w:tcPr>
          <w:p w14:paraId="5622C935" w14:textId="77777777" w:rsidR="00736671" w:rsidRPr="008778B0" w:rsidRDefault="00736671">
            <w:pPr>
              <w:rPr>
                <w:rFonts w:cstheme="minorHAnsi"/>
              </w:rPr>
            </w:pPr>
          </w:p>
        </w:tc>
        <w:tc>
          <w:tcPr>
            <w:tcW w:w="4908" w:type="dxa"/>
          </w:tcPr>
          <w:p w14:paraId="329C63E6" w14:textId="6C215766" w:rsidR="00736671" w:rsidRPr="008778B0" w:rsidRDefault="00736671">
            <w:pPr>
              <w:rPr>
                <w:rFonts w:cstheme="minorHAnsi"/>
              </w:rPr>
            </w:pPr>
            <w:r w:rsidRPr="008778B0">
              <w:rPr>
                <w:rFonts w:cstheme="minorHAnsi"/>
              </w:rPr>
              <w:t>Purchase of class reader books for whole school literacy programme</w:t>
            </w:r>
          </w:p>
        </w:tc>
        <w:tc>
          <w:tcPr>
            <w:tcW w:w="5671" w:type="dxa"/>
            <w:vMerge/>
          </w:tcPr>
          <w:p w14:paraId="34B14759" w14:textId="77777777" w:rsidR="00736671" w:rsidRPr="008778B0" w:rsidRDefault="00736671">
            <w:pPr>
              <w:rPr>
                <w:rFonts w:cstheme="minorHAnsi"/>
              </w:rPr>
            </w:pPr>
          </w:p>
        </w:tc>
        <w:tc>
          <w:tcPr>
            <w:tcW w:w="2610" w:type="dxa"/>
            <w:vMerge/>
          </w:tcPr>
          <w:p w14:paraId="100ADE2D" w14:textId="77777777" w:rsidR="00736671" w:rsidRPr="008778B0" w:rsidRDefault="00736671">
            <w:pPr>
              <w:rPr>
                <w:rFonts w:cstheme="minorHAnsi"/>
              </w:rPr>
            </w:pPr>
          </w:p>
        </w:tc>
      </w:tr>
      <w:tr w:rsidR="00736671" w:rsidRPr="008778B0" w14:paraId="06EE4BBA" w14:textId="77777777" w:rsidTr="002F381D">
        <w:trPr>
          <w:trHeight w:val="1669"/>
        </w:trPr>
        <w:tc>
          <w:tcPr>
            <w:tcW w:w="2142" w:type="dxa"/>
            <w:vMerge/>
          </w:tcPr>
          <w:p w14:paraId="4FB6EBE8" w14:textId="77777777" w:rsidR="00736671" w:rsidRPr="008778B0" w:rsidRDefault="00736671">
            <w:pPr>
              <w:rPr>
                <w:rFonts w:cstheme="minorHAnsi"/>
              </w:rPr>
            </w:pPr>
          </w:p>
        </w:tc>
        <w:tc>
          <w:tcPr>
            <w:tcW w:w="4908" w:type="dxa"/>
          </w:tcPr>
          <w:p w14:paraId="7F69DC3E" w14:textId="5787F67B" w:rsidR="00736671" w:rsidRPr="008778B0" w:rsidRDefault="00736671">
            <w:pPr>
              <w:rPr>
                <w:rFonts w:cstheme="minorHAnsi"/>
              </w:rPr>
            </w:pPr>
            <w:r w:rsidRPr="008778B0">
              <w:rPr>
                <w:rFonts w:cstheme="minorHAnsi"/>
              </w:rPr>
              <w:t>Small group English tuition</w:t>
            </w:r>
          </w:p>
        </w:tc>
        <w:tc>
          <w:tcPr>
            <w:tcW w:w="5671" w:type="dxa"/>
            <w:vMerge/>
          </w:tcPr>
          <w:p w14:paraId="1B3338D4" w14:textId="77777777" w:rsidR="00736671" w:rsidRPr="008778B0" w:rsidRDefault="00736671">
            <w:pPr>
              <w:rPr>
                <w:rFonts w:cstheme="minorHAnsi"/>
              </w:rPr>
            </w:pPr>
          </w:p>
        </w:tc>
        <w:tc>
          <w:tcPr>
            <w:tcW w:w="2610" w:type="dxa"/>
            <w:vMerge/>
          </w:tcPr>
          <w:p w14:paraId="1717CBB3" w14:textId="77777777" w:rsidR="00736671" w:rsidRPr="008778B0" w:rsidRDefault="00736671">
            <w:pPr>
              <w:rPr>
                <w:rFonts w:cstheme="minorHAnsi"/>
              </w:rPr>
            </w:pPr>
          </w:p>
        </w:tc>
      </w:tr>
      <w:tr w:rsidR="00736671" w:rsidRPr="008778B0" w14:paraId="394BA7F2" w14:textId="77777777" w:rsidTr="002F381D">
        <w:trPr>
          <w:trHeight w:val="681"/>
        </w:trPr>
        <w:tc>
          <w:tcPr>
            <w:tcW w:w="2142" w:type="dxa"/>
            <w:vMerge/>
          </w:tcPr>
          <w:p w14:paraId="03B022C8" w14:textId="77777777" w:rsidR="00736671" w:rsidRPr="008778B0" w:rsidRDefault="00736671">
            <w:pPr>
              <w:rPr>
                <w:rFonts w:cstheme="minorHAnsi"/>
              </w:rPr>
            </w:pPr>
          </w:p>
        </w:tc>
        <w:tc>
          <w:tcPr>
            <w:tcW w:w="4908" w:type="dxa"/>
          </w:tcPr>
          <w:p w14:paraId="17452ABD" w14:textId="3784FB79" w:rsidR="00736671" w:rsidRPr="008778B0" w:rsidRDefault="00736671">
            <w:pPr>
              <w:rPr>
                <w:rFonts w:cstheme="minorHAnsi"/>
              </w:rPr>
            </w:pPr>
            <w:proofErr w:type="spellStart"/>
            <w:r w:rsidRPr="008778B0">
              <w:rPr>
                <w:rFonts w:cstheme="minorHAnsi"/>
              </w:rPr>
              <w:t>Heggarty</w:t>
            </w:r>
            <w:proofErr w:type="spellEnd"/>
            <w:r w:rsidRPr="008778B0">
              <w:rPr>
                <w:rFonts w:cstheme="minorHAnsi"/>
              </w:rPr>
              <w:t xml:space="preserve"> Maths subscription</w:t>
            </w:r>
          </w:p>
        </w:tc>
        <w:tc>
          <w:tcPr>
            <w:tcW w:w="5671" w:type="dxa"/>
            <w:vMerge w:val="restart"/>
          </w:tcPr>
          <w:p w14:paraId="538544FD" w14:textId="6805E367" w:rsidR="00736671" w:rsidRPr="008778B0" w:rsidRDefault="00736671" w:rsidP="00C966C7">
            <w:pPr>
              <w:rPr>
                <w:rFonts w:cstheme="minorHAnsi"/>
              </w:rPr>
            </w:pPr>
            <w:r w:rsidRPr="008778B0">
              <w:rPr>
                <w:rFonts w:cstheme="minorHAnsi"/>
                <w:shd w:val="clear" w:color="auto" w:fill="FFFFFF"/>
              </w:rPr>
              <w:t>Overall, evidence shows that small group tuition is effective and, as a rule of thumb, the smaller the group the better.</w:t>
            </w:r>
            <w:r>
              <w:rPr>
                <w:rFonts w:cstheme="minorHAnsi"/>
                <w:shd w:val="clear" w:color="auto" w:fill="FFFFFF"/>
              </w:rPr>
              <w:t xml:space="preserve"> EEF</w:t>
            </w:r>
          </w:p>
        </w:tc>
        <w:tc>
          <w:tcPr>
            <w:tcW w:w="2610" w:type="dxa"/>
            <w:vMerge w:val="restart"/>
          </w:tcPr>
          <w:p w14:paraId="3AB47DD2" w14:textId="37D451BA" w:rsidR="00736671" w:rsidRPr="008778B0" w:rsidRDefault="00736671">
            <w:pPr>
              <w:rPr>
                <w:rFonts w:cstheme="minorHAnsi"/>
              </w:rPr>
            </w:pPr>
            <w:r>
              <w:rPr>
                <w:rFonts w:cstheme="minorHAnsi"/>
              </w:rPr>
              <w:t>RAF/ EDO</w:t>
            </w:r>
          </w:p>
        </w:tc>
      </w:tr>
      <w:tr w:rsidR="00736671" w:rsidRPr="008778B0" w14:paraId="4B3AFD2D" w14:textId="77777777" w:rsidTr="002F381D">
        <w:trPr>
          <w:trHeight w:val="339"/>
        </w:trPr>
        <w:tc>
          <w:tcPr>
            <w:tcW w:w="2142" w:type="dxa"/>
            <w:vMerge/>
          </w:tcPr>
          <w:p w14:paraId="1D8480BF" w14:textId="77777777" w:rsidR="00736671" w:rsidRPr="008778B0" w:rsidRDefault="00736671">
            <w:pPr>
              <w:rPr>
                <w:rFonts w:cstheme="minorHAnsi"/>
              </w:rPr>
            </w:pPr>
          </w:p>
        </w:tc>
        <w:tc>
          <w:tcPr>
            <w:tcW w:w="4908" w:type="dxa"/>
          </w:tcPr>
          <w:p w14:paraId="2676D3C5" w14:textId="2B3C801B" w:rsidR="00736671" w:rsidRPr="008778B0" w:rsidRDefault="00736671">
            <w:pPr>
              <w:rPr>
                <w:rFonts w:cstheme="minorHAnsi"/>
              </w:rPr>
            </w:pPr>
            <w:r>
              <w:rPr>
                <w:rFonts w:cstheme="minorHAnsi"/>
              </w:rPr>
              <w:t>Small group t</w:t>
            </w:r>
            <w:r w:rsidRPr="008778B0">
              <w:rPr>
                <w:rFonts w:cstheme="minorHAnsi"/>
              </w:rPr>
              <w:t>uition</w:t>
            </w:r>
            <w:r>
              <w:rPr>
                <w:rFonts w:cstheme="minorHAnsi"/>
              </w:rPr>
              <w:t xml:space="preserve"> for a range of subjects</w:t>
            </w:r>
          </w:p>
        </w:tc>
        <w:tc>
          <w:tcPr>
            <w:tcW w:w="5671" w:type="dxa"/>
            <w:vMerge/>
          </w:tcPr>
          <w:p w14:paraId="37A6F2C6" w14:textId="6B6F8FE4" w:rsidR="00736671" w:rsidRPr="008778B0" w:rsidRDefault="00736671">
            <w:pPr>
              <w:rPr>
                <w:rFonts w:cstheme="minorHAnsi"/>
              </w:rPr>
            </w:pPr>
          </w:p>
        </w:tc>
        <w:tc>
          <w:tcPr>
            <w:tcW w:w="2610" w:type="dxa"/>
            <w:vMerge/>
          </w:tcPr>
          <w:p w14:paraId="1ABC7757" w14:textId="77777777" w:rsidR="00736671" w:rsidRPr="008778B0" w:rsidRDefault="00736671">
            <w:pPr>
              <w:rPr>
                <w:rFonts w:cstheme="minorHAnsi"/>
              </w:rPr>
            </w:pPr>
          </w:p>
        </w:tc>
      </w:tr>
      <w:tr w:rsidR="00736671" w:rsidRPr="008778B0" w14:paraId="0BF34B2D" w14:textId="77777777" w:rsidTr="002F381D">
        <w:trPr>
          <w:trHeight w:val="1160"/>
        </w:trPr>
        <w:tc>
          <w:tcPr>
            <w:tcW w:w="2142" w:type="dxa"/>
            <w:vMerge/>
          </w:tcPr>
          <w:p w14:paraId="1EA54EC4" w14:textId="77777777" w:rsidR="00736671" w:rsidRPr="008778B0" w:rsidRDefault="00736671">
            <w:pPr>
              <w:rPr>
                <w:rFonts w:cstheme="minorHAnsi"/>
              </w:rPr>
            </w:pPr>
          </w:p>
        </w:tc>
        <w:tc>
          <w:tcPr>
            <w:tcW w:w="4908" w:type="dxa"/>
          </w:tcPr>
          <w:p w14:paraId="48A9A50F" w14:textId="364E507D" w:rsidR="00736671" w:rsidRPr="008778B0" w:rsidRDefault="00736671">
            <w:pPr>
              <w:rPr>
                <w:rFonts w:cstheme="minorHAnsi"/>
              </w:rPr>
            </w:pPr>
            <w:r w:rsidRPr="008778B0">
              <w:rPr>
                <w:rFonts w:cstheme="minorHAnsi"/>
              </w:rPr>
              <w:t>Twilight Homework Support staffed by colleagues after school focusing on specific and targeted homework tasks</w:t>
            </w:r>
          </w:p>
        </w:tc>
        <w:tc>
          <w:tcPr>
            <w:tcW w:w="5671" w:type="dxa"/>
            <w:vMerge w:val="restart"/>
          </w:tcPr>
          <w:p w14:paraId="2F2DFB14" w14:textId="172B7D38" w:rsidR="00736671" w:rsidRPr="008778B0" w:rsidRDefault="00736671">
            <w:pPr>
              <w:rPr>
                <w:rFonts w:cstheme="minorHAnsi"/>
              </w:rPr>
            </w:pPr>
            <w:r w:rsidRPr="008778B0">
              <w:rPr>
                <w:rFonts w:cstheme="minorHAnsi"/>
                <w:shd w:val="clear" w:color="auto" w:fill="FFFFFF"/>
              </w:rPr>
              <w:t>The evidence shows that the impact of homework, on average, is five months' additional progress. EEF</w:t>
            </w:r>
          </w:p>
        </w:tc>
        <w:tc>
          <w:tcPr>
            <w:tcW w:w="2610" w:type="dxa"/>
            <w:vMerge w:val="restart"/>
          </w:tcPr>
          <w:p w14:paraId="120604D0" w14:textId="066BB803" w:rsidR="00736671" w:rsidRPr="008778B0" w:rsidRDefault="00736671">
            <w:pPr>
              <w:rPr>
                <w:rFonts w:cstheme="minorHAnsi"/>
              </w:rPr>
            </w:pPr>
            <w:r>
              <w:rPr>
                <w:rFonts w:cstheme="minorHAnsi"/>
              </w:rPr>
              <w:t>ZT</w:t>
            </w:r>
          </w:p>
        </w:tc>
      </w:tr>
      <w:tr w:rsidR="00736671" w:rsidRPr="008778B0" w14:paraId="457DAF20" w14:textId="77777777" w:rsidTr="002F381D">
        <w:trPr>
          <w:trHeight w:val="303"/>
        </w:trPr>
        <w:tc>
          <w:tcPr>
            <w:tcW w:w="2142" w:type="dxa"/>
            <w:vMerge/>
          </w:tcPr>
          <w:p w14:paraId="051CA5A5" w14:textId="77777777" w:rsidR="00736671" w:rsidRPr="008778B0" w:rsidRDefault="00736671">
            <w:pPr>
              <w:rPr>
                <w:rFonts w:cstheme="minorHAnsi"/>
              </w:rPr>
            </w:pPr>
          </w:p>
        </w:tc>
        <w:tc>
          <w:tcPr>
            <w:tcW w:w="4908" w:type="dxa"/>
          </w:tcPr>
          <w:p w14:paraId="430414D1" w14:textId="2F47E19F" w:rsidR="00736671" w:rsidRPr="008778B0" w:rsidRDefault="00736671">
            <w:pPr>
              <w:rPr>
                <w:rFonts w:cstheme="minorHAnsi"/>
              </w:rPr>
            </w:pPr>
            <w:r w:rsidRPr="008778B0">
              <w:rPr>
                <w:rFonts w:cstheme="minorHAnsi"/>
              </w:rPr>
              <w:t>Late buses extended to</w:t>
            </w:r>
            <w:r>
              <w:rPr>
                <w:rFonts w:cstheme="minorHAnsi"/>
              </w:rPr>
              <w:t xml:space="preserve"> include to</w:t>
            </w:r>
            <w:r w:rsidRPr="008778B0">
              <w:rPr>
                <w:rFonts w:cstheme="minorHAnsi"/>
              </w:rPr>
              <w:t xml:space="preserve"> Fridays</w:t>
            </w:r>
            <w:r>
              <w:rPr>
                <w:rFonts w:cstheme="minorHAnsi"/>
              </w:rPr>
              <w:t xml:space="preserve"> to allow for a greater range of extra-curricular clubs</w:t>
            </w:r>
          </w:p>
        </w:tc>
        <w:tc>
          <w:tcPr>
            <w:tcW w:w="5671" w:type="dxa"/>
            <w:vMerge/>
          </w:tcPr>
          <w:p w14:paraId="0E9F75B0" w14:textId="77777777" w:rsidR="00736671" w:rsidRPr="008778B0" w:rsidRDefault="00736671">
            <w:pPr>
              <w:rPr>
                <w:rFonts w:cstheme="minorHAnsi"/>
              </w:rPr>
            </w:pPr>
          </w:p>
        </w:tc>
        <w:tc>
          <w:tcPr>
            <w:tcW w:w="2610" w:type="dxa"/>
            <w:vMerge/>
          </w:tcPr>
          <w:p w14:paraId="167299A9" w14:textId="77777777" w:rsidR="00736671" w:rsidRPr="008778B0" w:rsidRDefault="00736671">
            <w:pPr>
              <w:rPr>
                <w:rFonts w:cstheme="minorHAnsi"/>
              </w:rPr>
            </w:pPr>
          </w:p>
        </w:tc>
      </w:tr>
      <w:tr w:rsidR="00736671" w:rsidRPr="008778B0" w14:paraId="16AE60BD" w14:textId="77777777" w:rsidTr="002F381D">
        <w:trPr>
          <w:trHeight w:val="668"/>
        </w:trPr>
        <w:tc>
          <w:tcPr>
            <w:tcW w:w="2142" w:type="dxa"/>
            <w:vMerge/>
          </w:tcPr>
          <w:p w14:paraId="4F3D3790" w14:textId="77777777" w:rsidR="00736671" w:rsidRPr="008778B0" w:rsidRDefault="00736671">
            <w:pPr>
              <w:rPr>
                <w:rFonts w:cstheme="minorHAnsi"/>
              </w:rPr>
            </w:pPr>
          </w:p>
        </w:tc>
        <w:tc>
          <w:tcPr>
            <w:tcW w:w="4908" w:type="dxa"/>
          </w:tcPr>
          <w:p w14:paraId="7A8974D6" w14:textId="73F045E5" w:rsidR="00736671" w:rsidRPr="008778B0" w:rsidRDefault="00736671">
            <w:pPr>
              <w:rPr>
                <w:rFonts w:cstheme="minorHAnsi"/>
              </w:rPr>
            </w:pPr>
            <w:r>
              <w:rPr>
                <w:rFonts w:cstheme="minorHAnsi"/>
              </w:rPr>
              <w:t>Bespoke targeted twilight mentoring and intervention for HPA students to support with metacognition and accelerated learning</w:t>
            </w:r>
          </w:p>
        </w:tc>
        <w:tc>
          <w:tcPr>
            <w:tcW w:w="5671" w:type="dxa"/>
          </w:tcPr>
          <w:p w14:paraId="714462CD" w14:textId="77777777" w:rsidR="00736671" w:rsidRDefault="00736671" w:rsidP="006A68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Metacognition and self-regulation approaches have consistently high levels of impact, with pupils making an average of seven months’ additional progress. 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EEF</w:t>
            </w:r>
          </w:p>
          <w:p w14:paraId="06543AAB" w14:textId="2BAF11EA" w:rsidR="00736671" w:rsidRPr="008778B0" w:rsidRDefault="00736671">
            <w:pPr>
              <w:rPr>
                <w:rFonts w:cstheme="minorHAnsi"/>
              </w:rPr>
            </w:pPr>
          </w:p>
        </w:tc>
        <w:tc>
          <w:tcPr>
            <w:tcW w:w="2610" w:type="dxa"/>
          </w:tcPr>
          <w:p w14:paraId="685B6E96" w14:textId="6CE08320" w:rsidR="00736671" w:rsidRPr="008778B0" w:rsidRDefault="00736671">
            <w:pPr>
              <w:rPr>
                <w:rFonts w:cstheme="minorHAnsi"/>
              </w:rPr>
            </w:pPr>
            <w:r>
              <w:rPr>
                <w:rFonts w:cstheme="minorHAnsi"/>
              </w:rPr>
              <w:t>EDO</w:t>
            </w:r>
          </w:p>
        </w:tc>
      </w:tr>
      <w:tr w:rsidR="00736671" w:rsidRPr="008778B0" w14:paraId="3FEFE79A" w14:textId="77777777" w:rsidTr="002F381D">
        <w:trPr>
          <w:trHeight w:val="668"/>
        </w:trPr>
        <w:tc>
          <w:tcPr>
            <w:tcW w:w="2142" w:type="dxa"/>
            <w:vMerge/>
          </w:tcPr>
          <w:p w14:paraId="14BE14B0" w14:textId="77777777" w:rsidR="00736671" w:rsidRPr="008778B0" w:rsidRDefault="00736671">
            <w:pPr>
              <w:rPr>
                <w:rFonts w:cstheme="minorHAnsi"/>
              </w:rPr>
            </w:pPr>
          </w:p>
        </w:tc>
        <w:tc>
          <w:tcPr>
            <w:tcW w:w="4908" w:type="dxa"/>
          </w:tcPr>
          <w:p w14:paraId="5B2C65CC" w14:textId="7E2B953E" w:rsidR="00736671" w:rsidRDefault="00736671">
            <w:pPr>
              <w:rPr>
                <w:rFonts w:cstheme="minorHAnsi"/>
              </w:rPr>
            </w:pPr>
            <w:r>
              <w:rPr>
                <w:rFonts w:cstheme="minorHAnsi"/>
              </w:rPr>
              <w:t>Targeted small group mentoring from Anglia Ruskin University focusing on students in Years 7-11 who are 4/5 borderline</w:t>
            </w:r>
          </w:p>
        </w:tc>
        <w:tc>
          <w:tcPr>
            <w:tcW w:w="5671" w:type="dxa"/>
          </w:tcPr>
          <w:p w14:paraId="514A3659" w14:textId="4DD9E2DA" w:rsidR="00736671" w:rsidRDefault="00736671" w:rsidP="006A688E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 xml:space="preserve">Regular academic mentoring will allow students to </w:t>
            </w:r>
            <w:r w:rsidR="00E36529">
              <w:rPr>
                <w:rFonts w:ascii="Calibri" w:hAnsi="Calibri" w:cs="Calibri"/>
                <w:color w:val="000000"/>
              </w:rPr>
              <w:t>feel supported and challenged both socially and academically.</w:t>
            </w:r>
            <w:proofErr w:type="gramEnd"/>
          </w:p>
        </w:tc>
        <w:tc>
          <w:tcPr>
            <w:tcW w:w="2610" w:type="dxa"/>
          </w:tcPr>
          <w:p w14:paraId="2713DC1C" w14:textId="0F4A4AC3" w:rsidR="00736671" w:rsidRPr="008778B0" w:rsidRDefault="00736671">
            <w:pPr>
              <w:rPr>
                <w:rFonts w:cstheme="minorHAnsi"/>
              </w:rPr>
            </w:pPr>
            <w:r>
              <w:rPr>
                <w:rFonts w:cstheme="minorHAnsi"/>
              </w:rPr>
              <w:t>JM</w:t>
            </w:r>
          </w:p>
        </w:tc>
      </w:tr>
      <w:tr w:rsidR="00736671" w:rsidRPr="008778B0" w14:paraId="36F6F1A7" w14:textId="77777777" w:rsidTr="002F381D">
        <w:trPr>
          <w:trHeight w:val="668"/>
        </w:trPr>
        <w:tc>
          <w:tcPr>
            <w:tcW w:w="2142" w:type="dxa"/>
            <w:vMerge/>
          </w:tcPr>
          <w:p w14:paraId="497E3643" w14:textId="77777777" w:rsidR="00736671" w:rsidRPr="008778B0" w:rsidRDefault="00736671">
            <w:pPr>
              <w:rPr>
                <w:rFonts w:cstheme="minorHAnsi"/>
              </w:rPr>
            </w:pPr>
          </w:p>
        </w:tc>
        <w:tc>
          <w:tcPr>
            <w:tcW w:w="4908" w:type="dxa"/>
          </w:tcPr>
          <w:p w14:paraId="09F4864E" w14:textId="3DCF31B1" w:rsidR="00736671" w:rsidRPr="002F381D" w:rsidRDefault="007366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Cultural experiences through Arts participation and cultural activities </w:t>
            </w:r>
          </w:p>
        </w:tc>
        <w:tc>
          <w:tcPr>
            <w:tcW w:w="5671" w:type="dxa"/>
          </w:tcPr>
          <w:p w14:paraId="04D10946" w14:textId="59B5DC0E" w:rsidR="00736671" w:rsidRDefault="00736671" w:rsidP="006A688E">
            <w:pPr>
              <w:rPr>
                <w:rFonts w:ascii="Calibri" w:hAnsi="Calibri" w:cs="Calibri"/>
                <w:color w:val="000000"/>
              </w:rPr>
            </w:pPr>
            <w:r w:rsidRPr="002F381D">
              <w:rPr>
                <w:rFonts w:cstheme="minorHAnsi"/>
                <w:shd w:val="clear" w:color="auto" w:fill="FFFFFF"/>
              </w:rPr>
              <w:t xml:space="preserve">Overall, the impact of arts participation on academic learning appears to be positive but low. Improved outcomes </w:t>
            </w:r>
            <w:proofErr w:type="gramStart"/>
            <w:r w:rsidRPr="002F381D">
              <w:rPr>
                <w:rFonts w:cstheme="minorHAnsi"/>
                <w:shd w:val="clear" w:color="auto" w:fill="FFFFFF"/>
              </w:rPr>
              <w:t>have been identified</w:t>
            </w:r>
            <w:proofErr w:type="gramEnd"/>
            <w:r w:rsidRPr="002F381D">
              <w:rPr>
                <w:rFonts w:cstheme="minorHAnsi"/>
                <w:shd w:val="clear" w:color="auto" w:fill="FFFFFF"/>
              </w:rPr>
              <w:t xml:space="preserve"> in English, mathematics and science. Benefits </w:t>
            </w:r>
            <w:proofErr w:type="gramStart"/>
            <w:r w:rsidRPr="002F381D">
              <w:rPr>
                <w:rFonts w:cstheme="minorHAnsi"/>
                <w:shd w:val="clear" w:color="auto" w:fill="FFFFFF"/>
              </w:rPr>
              <w:t>have been found</w:t>
            </w:r>
            <w:proofErr w:type="gramEnd"/>
            <w:r w:rsidRPr="002F381D">
              <w:rPr>
                <w:rFonts w:cstheme="minorHAnsi"/>
                <w:shd w:val="clear" w:color="auto" w:fill="FFFFFF"/>
              </w:rPr>
              <w:t xml:space="preserve"> in both primary and secondary schools</w:t>
            </w:r>
            <w:r w:rsidR="00E36529">
              <w:rPr>
                <w:rFonts w:cstheme="minorHAnsi"/>
                <w:shd w:val="clear" w:color="auto" w:fill="FFFFFF"/>
              </w:rPr>
              <w:t>. EEF</w:t>
            </w:r>
          </w:p>
        </w:tc>
        <w:tc>
          <w:tcPr>
            <w:tcW w:w="2610" w:type="dxa"/>
          </w:tcPr>
          <w:p w14:paraId="625D78FA" w14:textId="09D1DE6B" w:rsidR="00736671" w:rsidRPr="008778B0" w:rsidRDefault="00736671">
            <w:pPr>
              <w:rPr>
                <w:rFonts w:cstheme="minorHAnsi"/>
              </w:rPr>
            </w:pPr>
            <w:r>
              <w:rPr>
                <w:rFonts w:cstheme="minorHAnsi"/>
              </w:rPr>
              <w:t>NDC</w:t>
            </w:r>
          </w:p>
        </w:tc>
      </w:tr>
    </w:tbl>
    <w:p w14:paraId="753606F3" w14:textId="77777777" w:rsidR="0089707B" w:rsidRDefault="00EB75BF"/>
    <w:sectPr w:rsidR="0089707B" w:rsidSect="002F38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ECA"/>
    <w:rsid w:val="00102B58"/>
    <w:rsid w:val="002F381D"/>
    <w:rsid w:val="004C44E2"/>
    <w:rsid w:val="0056664C"/>
    <w:rsid w:val="006A688E"/>
    <w:rsid w:val="00736671"/>
    <w:rsid w:val="008778B0"/>
    <w:rsid w:val="00AA6ECA"/>
    <w:rsid w:val="00DE1224"/>
    <w:rsid w:val="00E36529"/>
    <w:rsid w:val="00EB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6D6B2"/>
  <w15:chartTrackingRefBased/>
  <w15:docId w15:val="{8F1691FE-4847-432D-B1B7-BC443AC8C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6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2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1960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Bessie Owen</dc:creator>
  <cp:keywords/>
  <dc:description/>
  <cp:lastModifiedBy>Bessie Owen</cp:lastModifiedBy>
  <cp:revision>2</cp:revision>
  <dcterms:created xsi:type="dcterms:W3CDTF">2020-10-12T08:36:00Z</dcterms:created>
  <dcterms:modified xsi:type="dcterms:W3CDTF">2020-10-12T08:36:00Z</dcterms:modified>
</cp:coreProperties>
</file>